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附件4</w:t>
      </w:r>
    </w:p>
    <w:p>
      <w:pPr>
        <w:spacing w:line="440" w:lineRule="exact"/>
        <w:rPr>
          <w:rFonts w:ascii="仿宋_GB2312" w:hAnsi="宋体" w:eastAsia="仿宋_GB2312"/>
          <w:b/>
          <w:bCs/>
          <w:sz w:val="44"/>
          <w:szCs w:val="44"/>
        </w:rPr>
      </w:pPr>
    </w:p>
    <w:p>
      <w:pPr>
        <w:jc w:val="center"/>
        <w:rPr>
          <w:rFonts w:ascii="仿宋_GB2312" w:hAnsi="宋体" w:eastAsia="仿宋_GB2312"/>
          <w:b/>
          <w:bCs/>
          <w:spacing w:val="-20"/>
          <w:sz w:val="44"/>
          <w:szCs w:val="44"/>
        </w:rPr>
      </w:pPr>
      <w:r>
        <w:rPr>
          <w:rFonts w:ascii="仿宋_GB2312" w:hAnsi="宋体" w:eastAsia="仿宋_GB2312"/>
          <w:b/>
          <w:bCs/>
          <w:spacing w:val="-20"/>
          <w:sz w:val="44"/>
          <w:szCs w:val="44"/>
        </w:rPr>
        <w:t xml:space="preserve"> </w:t>
      </w:r>
      <w:r>
        <w:rPr>
          <w:rFonts w:hint="eastAsia" w:ascii="仿宋_GB2312" w:hAnsi="宋体" w:eastAsia="仿宋_GB2312"/>
          <w:b/>
          <w:bCs/>
          <w:spacing w:val="-20"/>
          <w:sz w:val="44"/>
          <w:szCs w:val="44"/>
        </w:rPr>
        <w:t>全国教育教学信息化交流展示活动</w:t>
      </w:r>
    </w:p>
    <w:p>
      <w:pPr>
        <w:jc w:val="center"/>
        <w:rPr>
          <w:rFonts w:ascii="仿宋_GB2312" w:hAnsi="宋体" w:eastAsia="仿宋_GB2312"/>
          <w:b/>
          <w:bCs/>
          <w:spacing w:val="-20"/>
          <w:sz w:val="44"/>
          <w:szCs w:val="44"/>
        </w:rPr>
      </w:pPr>
      <w:r>
        <w:rPr>
          <w:rFonts w:hint="eastAsia" w:ascii="仿宋_GB2312" w:hAnsi="宋体" w:eastAsia="仿宋_GB2312"/>
          <w:b/>
          <w:bCs/>
          <w:spacing w:val="-20"/>
          <w:sz w:val="44"/>
          <w:szCs w:val="44"/>
        </w:rPr>
        <w:t>第二十二届全国教育教学信息化大奖赛</w:t>
      </w: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84"/>
          <w:szCs w:val="84"/>
        </w:rPr>
      </w:pPr>
      <w:r>
        <w:rPr>
          <w:rFonts w:hint="eastAsia" w:ascii="仿宋_GB2312" w:hAnsi="宋体" w:eastAsia="仿宋_GB2312"/>
          <w:b/>
          <w:bCs/>
          <w:sz w:val="84"/>
          <w:szCs w:val="84"/>
        </w:rPr>
        <w:t>指</w:t>
      </w:r>
      <w:r>
        <w:rPr>
          <w:rFonts w:ascii="仿宋_GB2312" w:hAnsi="宋体" w:eastAsia="仿宋_GB2312"/>
          <w:b/>
          <w:bCs/>
          <w:sz w:val="84"/>
          <w:szCs w:val="84"/>
        </w:rPr>
        <w:t xml:space="preserve">  </w:t>
      </w:r>
      <w:r>
        <w:rPr>
          <w:rFonts w:hint="eastAsia" w:ascii="仿宋_GB2312" w:hAnsi="宋体" w:eastAsia="仿宋_GB2312"/>
          <w:b/>
          <w:bCs/>
          <w:sz w:val="84"/>
          <w:szCs w:val="84"/>
        </w:rPr>
        <w:t>南</w:t>
      </w: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bookmarkStart w:id="17" w:name="_GoBack"/>
      <w:bookmarkEnd w:id="17"/>
      <w: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ge">
                  <wp:posOffset>8244840</wp:posOffset>
                </wp:positionV>
                <wp:extent cx="5143500" cy="792480"/>
                <wp:effectExtent l="0" t="0" r="0" b="0"/>
                <wp:wrapNone/>
                <wp:docPr id="1" name="Text Box 25"/>
                <wp:cNvGraphicFramePr/>
                <a:graphic xmlns:a="http://schemas.openxmlformats.org/drawingml/2006/main">
                  <a:graphicData uri="http://schemas.microsoft.com/office/word/2010/wordprocessingShape">
                    <wps:wsp>
                      <wps:cNvSpPr txBox="1"/>
                      <wps:spPr>
                        <a:xfrm>
                          <a:off x="0" y="0"/>
                          <a:ext cx="5143500" cy="792480"/>
                        </a:xfrm>
                        <a:prstGeom prst="rect">
                          <a:avLst/>
                        </a:prstGeom>
                        <a:noFill/>
                        <a:ln w="25400">
                          <a:noFill/>
                        </a:ln>
                      </wps:spPr>
                      <wps:txbx>
                        <w:txbxContent>
                          <w:p>
                            <w:pPr>
                              <w:jc w:val="center"/>
                              <w:rPr>
                                <w:rFonts w:ascii="仿宋_GB2312" w:hAnsi="宋体" w:eastAsia="仿宋_GB2312"/>
                                <w:b/>
                                <w:bCs/>
                                <w:color w:val="000000"/>
                                <w:sz w:val="32"/>
                              </w:rPr>
                            </w:pPr>
                            <w:r>
                              <w:rPr>
                                <w:rFonts w:hint="eastAsia" w:ascii="仿宋_GB2312" w:hAnsi="宋体" w:eastAsia="仿宋_GB2312"/>
                                <w:b/>
                                <w:bCs/>
                                <w:color w:val="000000"/>
                                <w:sz w:val="32"/>
                              </w:rPr>
                              <w:t>大奖赛组织委员会编</w:t>
                            </w:r>
                          </w:p>
                          <w:p>
                            <w:pPr>
                              <w:jc w:val="center"/>
                              <w:rPr>
                                <w:rFonts w:ascii="仿宋_GB2312" w:hAnsi="宋体" w:eastAsia="仿宋_GB2312"/>
                                <w:b/>
                                <w:bCs/>
                                <w:color w:val="000000"/>
                                <w:sz w:val="32"/>
                              </w:rPr>
                            </w:pPr>
                            <w:r>
                              <w:rPr>
                                <w:rFonts w:ascii="仿宋_GB2312" w:hAnsi="宋体" w:eastAsia="仿宋_GB2312"/>
                                <w:b/>
                                <w:bCs/>
                                <w:color w:val="000000"/>
                                <w:sz w:val="32"/>
                              </w:rPr>
                              <w:t>2018</w:t>
                            </w:r>
                            <w:r>
                              <w:rPr>
                                <w:rFonts w:hint="eastAsia" w:ascii="仿宋_GB2312" w:hAnsi="宋体" w:eastAsia="仿宋_GB2312"/>
                                <w:b/>
                                <w:bCs/>
                                <w:color w:val="000000"/>
                                <w:sz w:val="32"/>
                              </w:rPr>
                              <w:t>年</w:t>
                            </w:r>
                            <w:r>
                              <w:rPr>
                                <w:rFonts w:ascii="仿宋_GB2312" w:hAnsi="宋体" w:eastAsia="仿宋_GB2312"/>
                                <w:b/>
                                <w:bCs/>
                                <w:color w:val="000000"/>
                                <w:sz w:val="32"/>
                              </w:rPr>
                              <w:t>3</w:t>
                            </w:r>
                            <w:r>
                              <w:rPr>
                                <w:rFonts w:hint="eastAsia" w:ascii="仿宋_GB2312" w:hAnsi="宋体" w:eastAsia="仿宋_GB2312"/>
                                <w:b/>
                                <w:bCs/>
                                <w:color w:val="000000"/>
                                <w:sz w:val="32"/>
                              </w:rPr>
                              <w:t>月</w:t>
                            </w:r>
                          </w:p>
                        </w:txbxContent>
                      </wps:txbx>
                      <wps:bodyPr upright="1"/>
                    </wps:wsp>
                  </a:graphicData>
                </a:graphic>
              </wp:anchor>
            </w:drawing>
          </mc:Choice>
          <mc:Fallback>
            <w:pict>
              <v:shape id="Text Box 25" o:spid="_x0000_s1026" o:spt="202" type="#_x0000_t202" style="position:absolute;left:0pt;margin-left:3pt;margin-top:649.2pt;height:62.4pt;width:405pt;mso-position-vertical-relative:page;z-index:251659264;mso-width-relative:page;mso-height-relative:page;" fillcolor="#CC99FF" filled="f" stroked="f" coordsize="21600,21600" o:gfxdata="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CaLcWI1gAAAAsBAAAPAAAAAAAAAAEAIAAAACIAAABkcnMvZG93bnJldi54bWxQ&#10;SwECFAAUAAAACACHTuJAaRwLrIcBAAAKAwAADgAAAAAAAAABACAAAAAlAQAAZHJzL2Uyb0RvYy54&#10;bWxQSwUGAAAAAAYABgBZAQAAHgUAAAAA&#10;">
                <v:path/>
                <v:fill on="f" focussize="0,0"/>
                <v:stroke on="f" weight="2pt" linestyle="thickThin"/>
                <v:imagedata o:title=""/>
                <o:lock v:ext="edit"/>
                <v:textbox>
                  <w:txbxContent>
                    <w:p>
                      <w:pPr>
                        <w:jc w:val="center"/>
                        <w:rPr>
                          <w:rFonts w:ascii="仿宋_GB2312" w:hAnsi="宋体" w:eastAsia="仿宋_GB2312"/>
                          <w:b/>
                          <w:bCs/>
                          <w:color w:val="000000"/>
                          <w:sz w:val="32"/>
                        </w:rPr>
                      </w:pPr>
                      <w:r>
                        <w:rPr>
                          <w:rFonts w:hint="eastAsia" w:ascii="仿宋_GB2312" w:hAnsi="宋体" w:eastAsia="仿宋_GB2312"/>
                          <w:b/>
                          <w:bCs/>
                          <w:color w:val="000000"/>
                          <w:sz w:val="32"/>
                        </w:rPr>
                        <w:t>大奖赛组织委员会编</w:t>
                      </w:r>
                    </w:p>
                    <w:p>
                      <w:pPr>
                        <w:jc w:val="center"/>
                        <w:rPr>
                          <w:rFonts w:ascii="仿宋_GB2312" w:hAnsi="宋体" w:eastAsia="仿宋_GB2312"/>
                          <w:b/>
                          <w:bCs/>
                          <w:color w:val="000000"/>
                          <w:sz w:val="32"/>
                        </w:rPr>
                      </w:pPr>
                      <w:r>
                        <w:rPr>
                          <w:rFonts w:ascii="仿宋_GB2312" w:hAnsi="宋体" w:eastAsia="仿宋_GB2312"/>
                          <w:b/>
                          <w:bCs/>
                          <w:color w:val="000000"/>
                          <w:sz w:val="32"/>
                        </w:rPr>
                        <w:t>2018</w:t>
                      </w:r>
                      <w:r>
                        <w:rPr>
                          <w:rFonts w:hint="eastAsia" w:ascii="仿宋_GB2312" w:hAnsi="宋体" w:eastAsia="仿宋_GB2312"/>
                          <w:b/>
                          <w:bCs/>
                          <w:color w:val="000000"/>
                          <w:sz w:val="32"/>
                        </w:rPr>
                        <w:t>年</w:t>
                      </w:r>
                      <w:r>
                        <w:rPr>
                          <w:rFonts w:ascii="仿宋_GB2312" w:hAnsi="宋体" w:eastAsia="仿宋_GB2312"/>
                          <w:b/>
                          <w:bCs/>
                          <w:color w:val="000000"/>
                          <w:sz w:val="32"/>
                        </w:rPr>
                        <w:t>3</w:t>
                      </w:r>
                      <w:r>
                        <w:rPr>
                          <w:rFonts w:hint="eastAsia" w:ascii="仿宋_GB2312" w:hAnsi="宋体" w:eastAsia="仿宋_GB2312"/>
                          <w:b/>
                          <w:bCs/>
                          <w:color w:val="000000"/>
                          <w:sz w:val="32"/>
                        </w:rPr>
                        <w:t>月</w:t>
                      </w:r>
                    </w:p>
                  </w:txbxContent>
                </v:textbox>
              </v:shape>
            </w:pict>
          </mc:Fallback>
        </mc:AlternateContent>
      </w:r>
    </w:p>
    <w:p>
      <w:pPr>
        <w:jc w:val="center"/>
        <w:rPr>
          <w:rFonts w:ascii="仿宋_GB2312" w:eastAsia="仿宋_GB2312"/>
          <w:b/>
          <w:sz w:val="36"/>
          <w:szCs w:val="36"/>
        </w:rPr>
      </w:pPr>
      <w:bookmarkStart w:id="0" w:name="_Toc94346054"/>
      <w:bookmarkStart w:id="1" w:name="_Toc101167274"/>
      <w:r>
        <w:rPr>
          <w:rFonts w:hint="eastAsia" w:ascii="仿宋_GB2312" w:eastAsia="仿宋_GB2312"/>
          <w:b/>
          <w:sz w:val="36"/>
          <w:szCs w:val="36"/>
        </w:rPr>
        <w:t>目</w:t>
      </w:r>
      <w:r>
        <w:rPr>
          <w:rFonts w:ascii="仿宋_GB2312" w:eastAsia="仿宋_GB2312"/>
          <w:b/>
          <w:sz w:val="36"/>
          <w:szCs w:val="36"/>
        </w:rPr>
        <w:t xml:space="preserve">   </w:t>
      </w:r>
      <w:r>
        <w:rPr>
          <w:rFonts w:hint="eastAsia" w:ascii="仿宋_GB2312" w:eastAsia="仿宋_GB2312"/>
          <w:b/>
          <w:sz w:val="36"/>
          <w:szCs w:val="36"/>
        </w:rPr>
        <w:t>录</w:t>
      </w:r>
    </w:p>
    <w:p>
      <w:pPr>
        <w:ind w:firstLine="420"/>
        <w:rPr>
          <w:rFonts w:ascii="仿宋_GB2312" w:eastAsia="仿宋_GB2312"/>
          <w:b/>
          <w:sz w:val="28"/>
          <w:szCs w:val="28"/>
        </w:rPr>
      </w:pPr>
      <w:r>
        <w:rPr>
          <w:rFonts w:hint="eastAsia" w:ascii="仿宋_GB2312" w:eastAsia="仿宋_GB2312"/>
          <w:b/>
          <w:sz w:val="28"/>
          <w:szCs w:val="28"/>
        </w:rPr>
        <w:t>一、参加人员范围</w:t>
      </w:r>
    </w:p>
    <w:p>
      <w:pPr>
        <w:ind w:firstLine="420"/>
        <w:rPr>
          <w:rFonts w:ascii="仿宋_GB2312" w:eastAsia="仿宋_GB2312"/>
          <w:b/>
          <w:sz w:val="28"/>
          <w:szCs w:val="28"/>
        </w:rPr>
      </w:pPr>
      <w:r>
        <w:rPr>
          <w:rFonts w:hint="eastAsia" w:ascii="仿宋_GB2312" w:eastAsia="仿宋_GB2312"/>
          <w:b/>
          <w:sz w:val="28"/>
          <w:szCs w:val="28"/>
        </w:rPr>
        <w:t>二、项目设置及相关要求</w:t>
      </w:r>
    </w:p>
    <w:p>
      <w:pPr>
        <w:ind w:left="420" w:firstLine="420"/>
        <w:rPr>
          <w:rFonts w:ascii="仿宋_GB2312" w:eastAsia="仿宋_GB2312"/>
          <w:sz w:val="28"/>
          <w:szCs w:val="28"/>
        </w:rPr>
      </w:pPr>
      <w:r>
        <w:rPr>
          <w:rFonts w:hint="eastAsia" w:ascii="仿宋_GB2312" w:eastAsia="仿宋_GB2312"/>
          <w:sz w:val="28"/>
          <w:szCs w:val="28"/>
        </w:rPr>
        <w:t>（一）项目设置</w:t>
      </w:r>
    </w:p>
    <w:p>
      <w:pPr>
        <w:ind w:left="420" w:firstLine="420"/>
        <w:rPr>
          <w:rFonts w:ascii="仿宋_GB2312" w:eastAsia="仿宋_GB2312"/>
          <w:sz w:val="28"/>
          <w:szCs w:val="28"/>
        </w:rPr>
      </w:pPr>
      <w:r>
        <w:rPr>
          <w:rFonts w:hint="eastAsia" w:ascii="仿宋_GB2312" w:eastAsia="仿宋_GB2312"/>
          <w:sz w:val="28"/>
          <w:szCs w:val="28"/>
        </w:rPr>
        <w:t>（二）项目说明及要求</w:t>
      </w:r>
    </w:p>
    <w:p>
      <w:pPr>
        <w:tabs>
          <w:tab w:val="center" w:pos="4576"/>
        </w:tabs>
        <w:ind w:left="420" w:firstLine="420"/>
        <w:rPr>
          <w:rFonts w:ascii="仿宋_GB2312" w:eastAsia="仿宋_GB2312"/>
          <w:sz w:val="28"/>
          <w:szCs w:val="28"/>
        </w:rPr>
      </w:pPr>
      <w:r>
        <w:rPr>
          <w:rFonts w:hint="eastAsia" w:ascii="仿宋_GB2312" w:eastAsia="仿宋_GB2312"/>
          <w:sz w:val="28"/>
          <w:szCs w:val="28"/>
        </w:rPr>
        <w:t>（三）评选指标</w:t>
      </w:r>
    </w:p>
    <w:p>
      <w:pPr>
        <w:ind w:left="420" w:firstLine="420"/>
        <w:rPr>
          <w:rFonts w:ascii="仿宋_GB2312" w:eastAsia="仿宋_GB2312"/>
          <w:sz w:val="28"/>
          <w:szCs w:val="28"/>
        </w:rPr>
      </w:pPr>
      <w:r>
        <w:rPr>
          <w:rFonts w:hint="eastAsia" w:ascii="仿宋_GB2312" w:eastAsia="仿宋_GB2312"/>
          <w:sz w:val="28"/>
          <w:szCs w:val="28"/>
        </w:rPr>
        <w:t>（四）作品资格审定</w:t>
      </w:r>
    </w:p>
    <w:p>
      <w:pPr>
        <w:ind w:left="420" w:firstLine="420"/>
        <w:rPr>
          <w:rFonts w:ascii="仿宋_GB2312" w:eastAsia="仿宋_GB2312"/>
          <w:sz w:val="28"/>
          <w:szCs w:val="28"/>
        </w:rPr>
      </w:pPr>
      <w:r>
        <w:rPr>
          <w:rFonts w:hint="eastAsia" w:ascii="仿宋_GB2312" w:eastAsia="仿宋_GB2312"/>
          <w:sz w:val="28"/>
          <w:szCs w:val="28"/>
        </w:rPr>
        <w:t>（五）作品制作</w:t>
      </w:r>
    </w:p>
    <w:p>
      <w:pPr>
        <w:ind w:firstLine="420"/>
        <w:rPr>
          <w:rFonts w:ascii="仿宋_GB2312" w:eastAsia="仿宋_GB2312"/>
          <w:b/>
          <w:sz w:val="28"/>
          <w:szCs w:val="28"/>
        </w:rPr>
      </w:pPr>
      <w:r>
        <w:rPr>
          <w:rFonts w:hint="eastAsia" w:ascii="仿宋_GB2312" w:eastAsia="仿宋_GB2312"/>
          <w:b/>
          <w:sz w:val="28"/>
          <w:szCs w:val="28"/>
        </w:rPr>
        <w:t>三、参加办法</w:t>
      </w:r>
    </w:p>
    <w:p>
      <w:pPr>
        <w:ind w:left="420" w:firstLine="420"/>
        <w:rPr>
          <w:rFonts w:ascii="仿宋_GB2312" w:eastAsia="仿宋_GB2312"/>
          <w:sz w:val="28"/>
          <w:szCs w:val="28"/>
        </w:rPr>
      </w:pPr>
      <w:r>
        <w:rPr>
          <w:rFonts w:hint="eastAsia" w:ascii="仿宋_GB2312" w:eastAsia="仿宋_GB2312"/>
          <w:sz w:val="28"/>
          <w:szCs w:val="28"/>
        </w:rPr>
        <w:t>（一）参加办法及报送作品数量</w:t>
      </w:r>
    </w:p>
    <w:p>
      <w:pPr>
        <w:ind w:left="420" w:firstLine="420"/>
        <w:rPr>
          <w:rFonts w:ascii="仿宋_GB2312" w:eastAsia="仿宋_GB2312"/>
          <w:sz w:val="28"/>
          <w:szCs w:val="28"/>
        </w:rPr>
      </w:pPr>
      <w:r>
        <w:rPr>
          <w:rFonts w:hint="eastAsia" w:ascii="仿宋_GB2312" w:eastAsia="仿宋_GB2312"/>
          <w:sz w:val="28"/>
          <w:szCs w:val="28"/>
        </w:rPr>
        <w:t>（二）报送时间、方式及费用</w:t>
      </w:r>
    </w:p>
    <w:p>
      <w:pPr>
        <w:ind w:firstLine="420"/>
        <w:rPr>
          <w:rFonts w:ascii="仿宋_GB2312" w:eastAsia="仿宋_GB2312"/>
          <w:b/>
          <w:sz w:val="28"/>
          <w:szCs w:val="28"/>
        </w:rPr>
      </w:pPr>
      <w:r>
        <w:rPr>
          <w:rFonts w:hint="eastAsia" w:ascii="仿宋_GB2312" w:eastAsia="仿宋_GB2312"/>
          <w:b/>
          <w:sz w:val="28"/>
          <w:szCs w:val="28"/>
        </w:rPr>
        <w:t>四、评选及交流展示</w:t>
      </w:r>
    </w:p>
    <w:p>
      <w:pPr>
        <w:ind w:firstLine="420"/>
        <w:rPr>
          <w:rFonts w:ascii="仿宋_GB2312" w:eastAsia="仿宋_GB2312"/>
          <w:b/>
          <w:sz w:val="28"/>
          <w:szCs w:val="28"/>
        </w:rPr>
      </w:pPr>
      <w:r>
        <w:rPr>
          <w:rFonts w:hint="eastAsia" w:ascii="仿宋_GB2312" w:eastAsia="仿宋_GB2312"/>
          <w:b/>
          <w:sz w:val="28"/>
          <w:szCs w:val="28"/>
        </w:rPr>
        <w:t>五、组织工作</w:t>
      </w:r>
    </w:p>
    <w:p>
      <w:pPr>
        <w:ind w:left="420" w:firstLine="420"/>
        <w:rPr>
          <w:rFonts w:ascii="仿宋_GB2312" w:eastAsia="仿宋_GB2312"/>
          <w:sz w:val="28"/>
          <w:szCs w:val="28"/>
        </w:rPr>
      </w:pPr>
      <w:r>
        <w:rPr>
          <w:rFonts w:hint="eastAsia" w:ascii="仿宋_GB2312" w:eastAsia="仿宋_GB2312"/>
          <w:sz w:val="28"/>
          <w:szCs w:val="28"/>
        </w:rPr>
        <w:t>（一）组织领导</w:t>
      </w:r>
    </w:p>
    <w:p>
      <w:pPr>
        <w:ind w:left="420" w:firstLine="420"/>
        <w:rPr>
          <w:rFonts w:ascii="仿宋_GB2312" w:eastAsia="仿宋_GB2312"/>
          <w:sz w:val="28"/>
          <w:szCs w:val="28"/>
        </w:rPr>
      </w:pPr>
      <w:r>
        <w:rPr>
          <w:rFonts w:hint="eastAsia" w:ascii="仿宋_GB2312" w:eastAsia="仿宋_GB2312"/>
          <w:sz w:val="28"/>
          <w:szCs w:val="28"/>
        </w:rPr>
        <w:t>（二）联系方式</w:t>
      </w:r>
    </w:p>
    <w:p>
      <w:pPr>
        <w:spacing w:line="360" w:lineRule="auto"/>
        <w:ind w:firstLine="420"/>
        <w:rPr>
          <w:rFonts w:ascii="仿宋_GB2312" w:eastAsia="仿宋_GB2312"/>
          <w:sz w:val="28"/>
          <w:szCs w:val="28"/>
        </w:rPr>
      </w:pPr>
      <w:r>
        <w:rPr>
          <w:rFonts w:hint="eastAsia" w:ascii="仿宋_GB2312" w:eastAsia="仿宋_GB2312"/>
          <w:sz w:val="28"/>
          <w:szCs w:val="28"/>
        </w:rPr>
        <w:t>附表</w:t>
      </w:r>
      <w:r>
        <w:rPr>
          <w:rFonts w:ascii="仿宋_GB2312" w:eastAsia="仿宋_GB2312"/>
          <w:sz w:val="28"/>
          <w:szCs w:val="28"/>
        </w:rPr>
        <w:t xml:space="preserve">1: </w:t>
      </w:r>
      <w:r>
        <w:rPr>
          <w:rFonts w:hint="eastAsia" w:ascii="仿宋_GB2312" w:eastAsia="仿宋_GB2312"/>
          <w:sz w:val="28"/>
          <w:szCs w:val="28"/>
        </w:rPr>
        <w:t>作品登记表（课件、微课、课例、教育资源应用教学设计方案、教育资源应用课例）</w:t>
      </w:r>
    </w:p>
    <w:p>
      <w:pPr>
        <w:spacing w:line="360" w:lineRule="auto"/>
        <w:ind w:firstLine="420"/>
        <w:rPr>
          <w:rFonts w:ascii="仿宋_GB2312" w:eastAsia="仿宋_GB2312"/>
          <w:sz w:val="28"/>
          <w:szCs w:val="28"/>
        </w:rPr>
      </w:pPr>
      <w:r>
        <w:rPr>
          <w:rFonts w:hint="eastAsia" w:ascii="仿宋_GB2312" w:eastAsia="仿宋_GB2312"/>
          <w:sz w:val="28"/>
          <w:szCs w:val="28"/>
        </w:rPr>
        <w:t>附表</w:t>
      </w:r>
      <w:r>
        <w:rPr>
          <w:rFonts w:ascii="仿宋_GB2312" w:eastAsia="仿宋_GB2312"/>
          <w:sz w:val="28"/>
          <w:szCs w:val="28"/>
        </w:rPr>
        <w:t>2</w:t>
      </w:r>
      <w:r>
        <w:rPr>
          <w:rFonts w:hint="eastAsia" w:ascii="仿宋_GB2312" w:eastAsia="仿宋_GB2312"/>
          <w:sz w:val="28"/>
          <w:szCs w:val="28"/>
        </w:rPr>
        <w:t>：作品登记表（教师网络空间应用案例、创新教育教学案例、信息化教学课程案例）</w:t>
      </w:r>
    </w:p>
    <w:p>
      <w:pPr>
        <w:spacing w:line="360" w:lineRule="auto"/>
        <w:ind w:firstLine="420"/>
        <w:rPr>
          <w:rFonts w:ascii="仿宋_GB2312" w:eastAsia="仿宋_GB2312"/>
          <w:sz w:val="28"/>
          <w:szCs w:val="28"/>
        </w:rPr>
      </w:pPr>
      <w:r>
        <w:rPr>
          <w:rFonts w:hint="eastAsia" w:ascii="仿宋_GB2312" w:eastAsia="仿宋_GB2312"/>
          <w:sz w:val="28"/>
          <w:szCs w:val="28"/>
        </w:rPr>
        <w:t>附表</w:t>
      </w:r>
      <w:r>
        <w:rPr>
          <w:rFonts w:ascii="仿宋_GB2312" w:eastAsia="仿宋_GB2312"/>
          <w:sz w:val="28"/>
          <w:szCs w:val="28"/>
        </w:rPr>
        <w:t>3</w:t>
      </w:r>
      <w:r>
        <w:rPr>
          <w:rFonts w:hint="eastAsia" w:ascii="仿宋_GB2312" w:eastAsia="仿宋_GB2312"/>
          <w:sz w:val="28"/>
          <w:szCs w:val="28"/>
        </w:rPr>
        <w:t>：作品名单及联系人信息表</w:t>
      </w:r>
    </w:p>
    <w:p>
      <w:pPr>
        <w:spacing w:line="360" w:lineRule="auto"/>
        <w:ind w:firstLine="420"/>
        <w:rPr>
          <w:rFonts w:ascii="黑体" w:hAnsi="黑体" w:eastAsia="黑体"/>
          <w:sz w:val="32"/>
          <w:szCs w:val="32"/>
        </w:rPr>
      </w:pPr>
    </w:p>
    <w:p>
      <w:pPr>
        <w:ind w:firstLine="627" w:firstLineChars="196"/>
        <w:rPr>
          <w:rFonts w:ascii="黑体" w:hAnsi="黑体" w:eastAsia="黑体"/>
          <w:sz w:val="32"/>
          <w:szCs w:val="32"/>
        </w:rPr>
      </w:pPr>
      <w:r>
        <w:rPr>
          <w:rFonts w:hint="eastAsia" w:ascii="黑体" w:hAnsi="黑体" w:eastAsia="黑体"/>
          <w:sz w:val="32"/>
          <w:szCs w:val="32"/>
        </w:rPr>
        <w:t>一、参加人员范围</w:t>
      </w:r>
      <w:bookmarkEnd w:id="0"/>
      <w:bookmarkEnd w:id="1"/>
    </w:p>
    <w:p>
      <w:pPr>
        <w:spacing w:line="440" w:lineRule="exact"/>
        <w:ind w:firstLine="560" w:firstLineChars="200"/>
        <w:rPr>
          <w:rFonts w:ascii="仿宋_GB2312" w:hAnsi="宋体" w:eastAsia="仿宋_GB2312"/>
          <w:bCs/>
          <w:sz w:val="28"/>
        </w:rPr>
      </w:pPr>
      <w:r>
        <w:rPr>
          <w:rFonts w:hint="eastAsia" w:ascii="仿宋_GB2312" w:hAnsi="宋体" w:eastAsia="仿宋_GB2312"/>
          <w:bCs/>
          <w:sz w:val="28"/>
        </w:rPr>
        <w:t>各级各类学校及有关部委、行业所属教育机构的教师、教育技术工作者。</w:t>
      </w:r>
    </w:p>
    <w:p>
      <w:pPr>
        <w:ind w:firstLine="627" w:firstLineChars="196"/>
        <w:rPr>
          <w:rFonts w:ascii="黑体" w:hAnsi="黑体" w:eastAsia="黑体"/>
          <w:sz w:val="32"/>
          <w:szCs w:val="32"/>
        </w:rPr>
      </w:pPr>
      <w:bookmarkStart w:id="2" w:name="_Toc101167276"/>
      <w:r>
        <w:rPr>
          <w:rFonts w:hint="eastAsia" w:ascii="黑体" w:hAnsi="黑体" w:eastAsia="黑体"/>
          <w:sz w:val="32"/>
          <w:szCs w:val="32"/>
        </w:rPr>
        <w:t>二、</w:t>
      </w:r>
      <w:bookmarkStart w:id="3" w:name="_Toc94346056"/>
      <w:bookmarkStart w:id="4" w:name="_Toc101167278"/>
      <w:r>
        <w:rPr>
          <w:rFonts w:hint="eastAsia" w:ascii="黑体" w:hAnsi="黑体" w:eastAsia="黑体"/>
          <w:sz w:val="32"/>
          <w:szCs w:val="32"/>
        </w:rPr>
        <w:t>项目设置</w:t>
      </w:r>
      <w:bookmarkEnd w:id="3"/>
      <w:bookmarkEnd w:id="4"/>
      <w:r>
        <w:rPr>
          <w:rFonts w:hint="eastAsia" w:ascii="黑体" w:hAnsi="黑体" w:eastAsia="黑体"/>
          <w:sz w:val="32"/>
          <w:szCs w:val="32"/>
        </w:rPr>
        <w:t>及相关要求</w:t>
      </w:r>
    </w:p>
    <w:p>
      <w:pPr>
        <w:spacing w:line="440" w:lineRule="exact"/>
        <w:ind w:firstLine="540"/>
        <w:rPr>
          <w:rFonts w:ascii="楷体_GB2312" w:eastAsia="楷体_GB2312"/>
          <w:b/>
          <w:bCs/>
          <w:sz w:val="28"/>
          <w:szCs w:val="28"/>
        </w:rPr>
      </w:pPr>
      <w:bookmarkStart w:id="5" w:name="_Toc94346057"/>
      <w:bookmarkStart w:id="6" w:name="_Toc101167279"/>
      <w:r>
        <w:rPr>
          <w:rFonts w:hint="eastAsia" w:ascii="楷体_GB2312" w:eastAsia="楷体_GB2312"/>
          <w:b/>
          <w:bCs/>
          <w:sz w:val="28"/>
          <w:szCs w:val="28"/>
        </w:rPr>
        <w:t>（一）项目设置</w:t>
      </w:r>
      <w:bookmarkEnd w:id="5"/>
      <w:bookmarkEnd w:id="6"/>
    </w:p>
    <w:p>
      <w:pPr>
        <w:spacing w:line="440" w:lineRule="exact"/>
        <w:ind w:firstLine="560" w:firstLineChars="200"/>
        <w:rPr>
          <w:rFonts w:ascii="仿宋_GB2312" w:hAnsi="宋体" w:eastAsia="仿宋_GB2312"/>
          <w:sz w:val="28"/>
        </w:rPr>
      </w:pPr>
      <w:r>
        <w:rPr>
          <w:rStyle w:val="6"/>
          <w:rFonts w:hint="eastAsia" w:ascii="仿宋_GB2312" w:eastAsia="仿宋_GB2312"/>
          <w:b w:val="0"/>
          <w:bCs/>
          <w:sz w:val="28"/>
          <w:szCs w:val="28"/>
        </w:rPr>
        <w:t>全国教育教学信息化大奖赛（简称“大奖赛”）</w:t>
      </w:r>
      <w:r>
        <w:rPr>
          <w:rFonts w:hint="eastAsia" w:ascii="仿宋_GB2312" w:hAnsi="宋体" w:eastAsia="仿宋_GB2312"/>
          <w:bCs/>
          <w:sz w:val="28"/>
        </w:rPr>
        <w:t>根据不同学校、不同学段教育教学要求和特点，按照</w:t>
      </w:r>
      <w:r>
        <w:rPr>
          <w:rFonts w:hint="eastAsia" w:ascii="仿宋_GB2312" w:eastAsia="仿宋_GB2312"/>
          <w:sz w:val="28"/>
          <w:szCs w:val="28"/>
        </w:rPr>
        <w:t>基础教育、中等职业教育、高等教育</w:t>
      </w:r>
      <w:r>
        <w:rPr>
          <w:rFonts w:hint="eastAsia" w:ascii="仿宋_GB2312" w:hAnsi="宋体" w:eastAsia="仿宋_GB2312"/>
          <w:bCs/>
          <w:sz w:val="28"/>
        </w:rPr>
        <w:t>分组</w:t>
      </w:r>
      <w:r>
        <w:rPr>
          <w:rFonts w:hint="eastAsia" w:ascii="仿宋_GB2312" w:hAnsi="宋体" w:eastAsia="仿宋_GB2312"/>
          <w:b/>
          <w:bCs/>
          <w:sz w:val="28"/>
        </w:rPr>
        <w:t>（按照作品第一作者所在单位划分）</w:t>
      </w:r>
      <w:r>
        <w:rPr>
          <w:rFonts w:hint="eastAsia" w:ascii="仿宋_GB2312" w:hAnsi="宋体" w:eastAsia="仿宋_GB2312"/>
          <w:bCs/>
          <w:sz w:val="28"/>
        </w:rPr>
        <w:t>设置项目。</w:t>
      </w:r>
    </w:p>
    <w:p>
      <w:pPr>
        <w:spacing w:line="44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基础教育组：课件、微课、课例、教师网络空间应用案例、创新教育教学案例。</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幼儿教育：课件、微课、课例。</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特殊教育：课件、微课、课例。</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教学点：教育资源应用教学设计方案、教育资源应用课例。</w:t>
      </w:r>
    </w:p>
    <w:p>
      <w:pPr>
        <w:spacing w:line="44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中等职业教育组：课件、微课、信息化教学课程案例。</w:t>
      </w:r>
    </w:p>
    <w:p>
      <w:pPr>
        <w:spacing w:line="44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高等教育组：课件、微课、信息化教学课程案例。</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（二）项目说明及</w:t>
      </w:r>
      <w:bookmarkEnd w:id="2"/>
      <w:r>
        <w:rPr>
          <w:rFonts w:hint="eastAsia" w:ascii="楷体_GB2312" w:eastAsia="楷体_GB2312"/>
          <w:b/>
          <w:bCs/>
          <w:sz w:val="28"/>
          <w:szCs w:val="28"/>
        </w:rPr>
        <w:t>要求</w:t>
      </w:r>
    </w:p>
    <w:p>
      <w:pPr>
        <w:spacing w:line="440" w:lineRule="exact"/>
        <w:ind w:firstLine="548" w:firstLineChars="196"/>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课件：是指基于计算机</w:t>
      </w:r>
      <w:r>
        <w:rPr>
          <w:rFonts w:hint="eastAsia" w:ascii="仿宋_GB2312" w:hAnsi="宋体" w:eastAsia="仿宋_GB2312"/>
          <w:sz w:val="28"/>
          <w:szCs w:val="28"/>
        </w:rPr>
        <w:t>技术和网络技术</w:t>
      </w:r>
      <w:r>
        <w:rPr>
          <w:rFonts w:hint="eastAsia" w:ascii="仿宋_GB2312" w:eastAsia="仿宋_GB2312"/>
          <w:sz w:val="28"/>
          <w:szCs w:val="28"/>
        </w:rPr>
        <w:t>，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w:t>
      </w:r>
      <w:r>
        <w:rPr>
          <w:rFonts w:ascii="仿宋_GB2312" w:eastAsia="仿宋_GB2312"/>
          <w:sz w:val="28"/>
          <w:szCs w:val="28"/>
        </w:rPr>
        <w:t>iPAD</w:t>
      </w:r>
      <w:r>
        <w:rPr>
          <w:rFonts w:hint="eastAsia" w:ascii="仿宋_GB2312" w:eastAsia="仿宋_GB2312"/>
          <w:sz w:val="28"/>
          <w:szCs w:val="28"/>
        </w:rPr>
        <w:t>、</w:t>
      </w:r>
      <w:r>
        <w:rPr>
          <w:rFonts w:ascii="仿宋_GB2312" w:eastAsia="仿宋_GB2312"/>
          <w:sz w:val="28"/>
          <w:szCs w:val="28"/>
        </w:rPr>
        <w:t>Android PAD</w:t>
      </w:r>
      <w:r>
        <w:rPr>
          <w:rFonts w:hint="eastAsia" w:ascii="仿宋_GB2312" w:eastAsia="仿宋_GB2312"/>
          <w:sz w:val="28"/>
          <w:szCs w:val="28"/>
        </w:rPr>
        <w:t>等移动教学设备上运行。</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各类教学软件、学生自主学习软件、教学评价软件、仿真实验软件等均可报送，建议同时报送软件运行录屏解说文件。</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）制作要求：视频、声音、动画等素材采用常用文件格式。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）报送形式：作品以</w:t>
      </w:r>
      <w:r>
        <w:rPr>
          <w:rFonts w:ascii="仿宋_GB2312" w:eastAsia="仿宋_GB2312"/>
          <w:sz w:val="28"/>
          <w:szCs w:val="28"/>
        </w:rPr>
        <w:t>zip</w:t>
      </w:r>
      <w:r>
        <w:rPr>
          <w:rFonts w:hint="eastAsia" w:ascii="仿宋_GB2312" w:eastAsia="仿宋_GB2312"/>
          <w:sz w:val="28"/>
          <w:szCs w:val="28"/>
        </w:rPr>
        <w:t>压缩包格式（含附表</w:t>
      </w:r>
      <w:r>
        <w:rPr>
          <w:rFonts w:ascii="仿宋_GB2312" w:eastAsia="仿宋_GB2312"/>
          <w:sz w:val="28"/>
          <w:szCs w:val="28"/>
        </w:rPr>
        <w:t>1</w:t>
      </w:r>
      <w:r>
        <w:rPr>
          <w:rFonts w:hint="eastAsia" w:ascii="仿宋_GB2312" w:eastAsia="仿宋_GB2312"/>
          <w:sz w:val="28"/>
          <w:szCs w:val="28"/>
        </w:rPr>
        <w:t>）报送，总大小建议不超过</w:t>
      </w:r>
      <w:r>
        <w:rPr>
          <w:rFonts w:ascii="仿宋_GB2312" w:eastAsia="仿宋_GB2312"/>
          <w:sz w:val="28"/>
          <w:szCs w:val="28"/>
        </w:rPr>
        <w:t>700MB</w:t>
      </w:r>
      <w:r>
        <w:rPr>
          <w:rFonts w:hint="eastAsia" w:ascii="仿宋_GB2312" w:eastAsia="仿宋_GB2312"/>
          <w:sz w:val="28"/>
          <w:szCs w:val="28"/>
        </w:rPr>
        <w:t>。课件应易于安装、运行和卸载；如需非常用软件运行或播放，请同时提供该软件，如相关字体、白板软件等。</w:t>
      </w:r>
    </w:p>
    <w:p>
      <w:pPr>
        <w:spacing w:line="460" w:lineRule="exact"/>
        <w:ind w:firstLine="560" w:firstLineChars="200"/>
        <w:rPr>
          <w:rFonts w:ascii="仿宋_GB2312" w:eastAsia="仿宋_GB2312"/>
          <w:sz w:val="28"/>
          <w:szCs w:val="28"/>
        </w:rPr>
      </w:pPr>
      <w:bookmarkStart w:id="7" w:name="_Toc94346061"/>
      <w:r>
        <w:rPr>
          <w:rFonts w:ascii="仿宋_GB2312" w:eastAsia="仿宋_GB2312"/>
          <w:sz w:val="28"/>
          <w:szCs w:val="28"/>
        </w:rPr>
        <w:t>2.</w:t>
      </w:r>
      <w:r>
        <w:rPr>
          <w:rFonts w:hint="eastAsia" w:ascii="仿宋_GB2312" w:eastAsia="仿宋_GB2312"/>
          <w:sz w:val="28"/>
          <w:szCs w:val="28"/>
        </w:rPr>
        <w:t>微课：是指教师围绕单一学习主题，以知识点讲解、教学重难点和典型问题解决、实验过程演示等为主要内容，使用摄录设备、录屏软件等拍摄制作的微视频课程。主要形式可以是讲授视频，也可以是使用</w:t>
      </w:r>
      <w:r>
        <w:rPr>
          <w:rFonts w:ascii="仿宋_GB2312" w:eastAsia="仿宋_GB2312"/>
          <w:sz w:val="28"/>
          <w:szCs w:val="28"/>
        </w:rPr>
        <w:t>PPT</w:t>
      </w:r>
      <w:r>
        <w:rPr>
          <w:rFonts w:hint="eastAsia" w:ascii="仿宋_GB2312" w:eastAsia="仿宋_GB2312"/>
          <w:sz w:val="28"/>
          <w:szCs w:val="28"/>
        </w:rPr>
        <w:t>、手写板配合画图软件和电子白板等录制的批注讲解视频。</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）制作要求：报送的微课作品应是单一有声视频文件，要求教学目标清晰、主题突出、内容完整、声画质量好。视频片头要求蓝底白字、楷体、时长</w:t>
      </w:r>
      <w:r>
        <w:rPr>
          <w:rFonts w:ascii="仿宋_GB2312" w:eastAsia="仿宋_GB2312"/>
          <w:sz w:val="28"/>
          <w:szCs w:val="28"/>
        </w:rPr>
        <w:t>5</w:t>
      </w:r>
      <w:r>
        <w:rPr>
          <w:rFonts w:hint="eastAsia" w:ascii="仿宋_GB2312" w:eastAsia="仿宋_GB2312"/>
          <w:sz w:val="28"/>
          <w:szCs w:val="28"/>
        </w:rPr>
        <w:t>秒，显示教材版本、学段学科、年级学期、课名、教师姓名和所在单位等信息，视频格式采用支持网络在线播放的流媒体格式（如</w:t>
      </w:r>
      <w:r>
        <w:rPr>
          <w:rFonts w:ascii="仿宋_GB2312" w:eastAsia="仿宋_GB2312"/>
          <w:sz w:val="28"/>
          <w:szCs w:val="28"/>
        </w:rPr>
        <w:t>flv</w:t>
      </w:r>
      <w:r>
        <w:rPr>
          <w:rFonts w:hint="eastAsia" w:ascii="仿宋_GB2312" w:eastAsia="仿宋_GB2312"/>
          <w:sz w:val="28"/>
          <w:szCs w:val="28"/>
        </w:rPr>
        <w:t>、</w:t>
      </w:r>
      <w:r>
        <w:rPr>
          <w:rFonts w:ascii="仿宋_GB2312" w:eastAsia="仿宋_GB2312"/>
          <w:sz w:val="28"/>
          <w:szCs w:val="28"/>
        </w:rPr>
        <w:t>mp4</w:t>
      </w:r>
      <w:r>
        <w:rPr>
          <w:rFonts w:hint="eastAsia" w:ascii="仿宋_GB2312" w:eastAsia="仿宋_GB2312"/>
          <w:sz w:val="28"/>
          <w:szCs w:val="28"/>
        </w:rPr>
        <w:t>、</w:t>
      </w:r>
      <w:r>
        <w:rPr>
          <w:rFonts w:ascii="仿宋_GB2312" w:eastAsia="仿宋_GB2312"/>
          <w:sz w:val="28"/>
          <w:szCs w:val="28"/>
        </w:rPr>
        <w:t>wmv</w:t>
      </w:r>
      <w:r>
        <w:rPr>
          <w:rFonts w:hint="eastAsia" w:ascii="仿宋_GB2312" w:eastAsia="仿宋_GB2312"/>
          <w:sz w:val="28"/>
          <w:szCs w:val="28"/>
        </w:rPr>
        <w:t>等），画面尺寸为</w:t>
      </w:r>
      <w:r>
        <w:rPr>
          <w:rFonts w:ascii="仿宋_GB2312" w:eastAsia="仿宋_GB2312"/>
          <w:sz w:val="28"/>
          <w:szCs w:val="28"/>
        </w:rPr>
        <w:t>640</w:t>
      </w:r>
      <w:r>
        <w:rPr>
          <w:rFonts w:hint="eastAsia" w:ascii="仿宋_GB2312" w:eastAsia="仿宋_GB2312"/>
          <w:sz w:val="28"/>
          <w:szCs w:val="28"/>
        </w:rPr>
        <w:t>×</w:t>
      </w:r>
      <w:r>
        <w:rPr>
          <w:rFonts w:ascii="仿宋_GB2312" w:eastAsia="仿宋_GB2312"/>
          <w:sz w:val="28"/>
          <w:szCs w:val="28"/>
        </w:rPr>
        <w:t>480</w:t>
      </w:r>
      <w:r>
        <w:rPr>
          <w:rFonts w:hint="eastAsia" w:ascii="仿宋_GB2312" w:eastAsia="仿宋_GB2312"/>
          <w:sz w:val="28"/>
          <w:szCs w:val="28"/>
        </w:rPr>
        <w:t>以上，播放时间一般不超过</w:t>
      </w:r>
      <w:r>
        <w:rPr>
          <w:rFonts w:ascii="仿宋_GB2312" w:eastAsia="仿宋_GB2312"/>
          <w:sz w:val="28"/>
          <w:szCs w:val="28"/>
        </w:rPr>
        <w:t>10</w:t>
      </w:r>
      <w:r>
        <w:rPr>
          <w:rFonts w:hint="eastAsia" w:ascii="仿宋_GB2312" w:eastAsia="仿宋_GB2312"/>
          <w:sz w:val="28"/>
          <w:szCs w:val="28"/>
        </w:rPr>
        <w:t>分钟。总大小建议不超过</w:t>
      </w:r>
      <w:r>
        <w:rPr>
          <w:rFonts w:ascii="仿宋_GB2312" w:eastAsia="仿宋_GB2312"/>
          <w:sz w:val="28"/>
          <w:szCs w:val="28"/>
        </w:rPr>
        <w:t>100MB</w:t>
      </w:r>
      <w:r>
        <w:rPr>
          <w:rFonts w:hint="eastAsia" w:ascii="仿宋_GB2312" w:eastAsia="仿宋_GB2312"/>
          <w:sz w:val="28"/>
          <w:szCs w:val="28"/>
        </w:rPr>
        <w:t>。</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根据学科和教学内容特点，如有学习指导、练习题和配套学习资源等材料请一并提交。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）报送形式：作品以</w:t>
      </w:r>
      <w:r>
        <w:rPr>
          <w:rFonts w:ascii="仿宋_GB2312" w:eastAsia="仿宋_GB2312"/>
          <w:sz w:val="28"/>
          <w:szCs w:val="28"/>
        </w:rPr>
        <w:t>zip</w:t>
      </w:r>
      <w:r>
        <w:rPr>
          <w:rFonts w:hint="eastAsia" w:ascii="仿宋_GB2312" w:eastAsia="仿宋_GB2312"/>
          <w:sz w:val="28"/>
          <w:szCs w:val="28"/>
        </w:rPr>
        <w:t>压缩包格式（含附表</w:t>
      </w:r>
      <w:r>
        <w:rPr>
          <w:rFonts w:ascii="仿宋_GB2312" w:eastAsia="仿宋_GB2312"/>
          <w:sz w:val="28"/>
          <w:szCs w:val="28"/>
        </w:rPr>
        <w:t>1</w:t>
      </w:r>
      <w:r>
        <w:rPr>
          <w:rFonts w:hint="eastAsia" w:ascii="仿宋_GB2312" w:eastAsia="仿宋_GB2312"/>
          <w:sz w:val="28"/>
          <w:szCs w:val="28"/>
        </w:rPr>
        <w:t>）报送，总大小建议不超过</w:t>
      </w:r>
      <w:r>
        <w:rPr>
          <w:rFonts w:ascii="仿宋_GB2312" w:eastAsia="仿宋_GB2312"/>
          <w:sz w:val="28"/>
          <w:szCs w:val="28"/>
        </w:rPr>
        <w:t>700MB</w:t>
      </w:r>
      <w:r>
        <w:rPr>
          <w:rFonts w:hint="eastAsia" w:ascii="仿宋_GB2312" w:eastAsia="仿宋_GB2312"/>
          <w:sz w:val="28"/>
          <w:szCs w:val="28"/>
        </w:rPr>
        <w:t>。</w:t>
      </w:r>
    </w:p>
    <w:p>
      <w:pPr>
        <w:spacing w:line="440" w:lineRule="exact"/>
        <w:ind w:firstLine="548" w:firstLineChars="196"/>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课</w:t>
      </w:r>
      <w:bookmarkEnd w:id="7"/>
      <w:r>
        <w:rPr>
          <w:rFonts w:hint="eastAsia" w:ascii="仿宋_GB2312" w:eastAsia="仿宋_GB2312"/>
          <w:sz w:val="28"/>
          <w:szCs w:val="28"/>
        </w:rPr>
        <w:t>例：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翻转课堂教学课例：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基于网络的</w:t>
      </w:r>
      <w:r>
        <w:rPr>
          <w:rFonts w:ascii="仿宋_GB2312" w:eastAsia="仿宋_GB2312"/>
          <w:sz w:val="28"/>
          <w:szCs w:val="28"/>
        </w:rPr>
        <w:t>PBL</w:t>
      </w:r>
      <w:r>
        <w:rPr>
          <w:rFonts w:hint="eastAsia" w:ascii="仿宋_GB2312" w:eastAsia="仿宋_GB2312"/>
          <w:sz w:val="28"/>
          <w:szCs w:val="28"/>
        </w:rPr>
        <w:t>（</w:t>
      </w:r>
      <w:r>
        <w:rPr>
          <w:rFonts w:ascii="仿宋_GB2312" w:eastAsia="仿宋_GB2312"/>
          <w:sz w:val="28"/>
          <w:szCs w:val="28"/>
        </w:rPr>
        <w:t>Project-based learning</w:t>
      </w:r>
      <w:r>
        <w:rPr>
          <w:rFonts w:hint="eastAsia" w:ascii="仿宋_GB2312" w:eastAsia="仿宋_GB2312"/>
          <w:sz w:val="28"/>
          <w:szCs w:val="28"/>
        </w:rPr>
        <w:t>）教学课例</w:t>
      </w:r>
      <w:r>
        <w:rPr>
          <w:rFonts w:ascii="仿宋_GB2312" w:eastAsia="仿宋_GB2312"/>
          <w:sz w:val="28"/>
          <w:szCs w:val="28"/>
        </w:rPr>
        <w:t>:</w:t>
      </w:r>
      <w:r>
        <w:rPr>
          <w:rFonts w:hint="eastAsia" w:ascii="仿宋_GB2312" w:eastAsia="仿宋_GB2312"/>
          <w:sz w:val="28"/>
          <w:szCs w:val="28"/>
        </w:rPr>
        <w:t>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一对一数字化学习课例：是指在每位学生均拥有一台数字化终端设备的一对一数字化学习环境下，应用信息技术开展自主学习和主动学习，培养学生分析问题和解决问题能力的新型教学方式。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移动终端课例：是指教师在学科教学中应用移动终端技术，把信息技术和教育资源作为内容、方法与手段融合在学科教学过程中，努力培养学生的自主学习能力</w:t>
      </w:r>
      <w:r>
        <w:rPr>
          <w:rFonts w:ascii="仿宋_GB2312" w:eastAsia="仿宋_GB2312"/>
          <w:sz w:val="28"/>
          <w:szCs w:val="28"/>
        </w:rPr>
        <w:t>,</w:t>
      </w:r>
      <w:r>
        <w:rPr>
          <w:rFonts w:hint="eastAsia" w:ascii="仿宋_GB2312" w:eastAsia="仿宋_GB2312"/>
          <w:sz w:val="28"/>
          <w:szCs w:val="28"/>
        </w:rPr>
        <w:t>探究学习能力</w:t>
      </w:r>
      <w:r>
        <w:rPr>
          <w:rFonts w:ascii="仿宋_GB2312" w:eastAsia="仿宋_GB2312"/>
          <w:sz w:val="28"/>
          <w:szCs w:val="28"/>
        </w:rPr>
        <w:t>,</w:t>
      </w:r>
      <w:r>
        <w:rPr>
          <w:rFonts w:hint="eastAsia" w:ascii="仿宋_GB2312" w:eastAsia="仿宋_GB2312"/>
          <w:sz w:val="28"/>
          <w:szCs w:val="28"/>
        </w:rPr>
        <w:t>促进教学过程整体优化。</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每节课为一个标准课时。</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）报送形式：作品以</w:t>
      </w:r>
      <w:r>
        <w:rPr>
          <w:rFonts w:ascii="仿宋_GB2312" w:eastAsia="仿宋_GB2312"/>
          <w:sz w:val="28"/>
          <w:szCs w:val="28"/>
        </w:rPr>
        <w:t>zip</w:t>
      </w:r>
      <w:r>
        <w:rPr>
          <w:rFonts w:hint="eastAsia" w:ascii="仿宋_GB2312" w:eastAsia="仿宋_GB2312"/>
          <w:sz w:val="28"/>
          <w:szCs w:val="28"/>
        </w:rPr>
        <w:t>压缩包格式（含附表</w:t>
      </w:r>
      <w:r>
        <w:rPr>
          <w:rFonts w:ascii="仿宋_GB2312" w:eastAsia="仿宋_GB2312"/>
          <w:sz w:val="28"/>
          <w:szCs w:val="28"/>
        </w:rPr>
        <w:t>1</w:t>
      </w:r>
      <w:r>
        <w:rPr>
          <w:rFonts w:hint="eastAsia" w:ascii="仿宋_GB2312" w:eastAsia="仿宋_GB2312"/>
          <w:sz w:val="28"/>
          <w:szCs w:val="28"/>
        </w:rPr>
        <w:t>）报送，总大小建议不超过</w:t>
      </w:r>
      <w:r>
        <w:rPr>
          <w:rFonts w:ascii="仿宋_GB2312" w:eastAsia="仿宋_GB2312"/>
          <w:sz w:val="28"/>
          <w:szCs w:val="28"/>
        </w:rPr>
        <w:t>700MB</w:t>
      </w:r>
      <w:r>
        <w:rPr>
          <w:rFonts w:hint="eastAsia" w:ascii="仿宋_GB2312" w:eastAsia="仿宋_GB2312"/>
          <w:sz w:val="28"/>
          <w:szCs w:val="28"/>
        </w:rPr>
        <w:t>。</w:t>
      </w:r>
    </w:p>
    <w:p>
      <w:pPr>
        <w:spacing w:line="4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教师网络空间应用案例：是指教师应用网络学习空间开展资源应用、备课授课、在线作业、辅导评价、学情分析、师生互动、家校互动、网络研修等教育教学活动效果突出的案例。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）要求：提交通过文字、图片、音频、视频等各类素材制作的</w:t>
      </w:r>
      <w:r>
        <w:rPr>
          <w:rFonts w:ascii="仿宋_GB2312" w:eastAsia="仿宋_GB2312"/>
          <w:sz w:val="28"/>
          <w:szCs w:val="28"/>
        </w:rPr>
        <w:t>PPT</w:t>
      </w:r>
      <w:r>
        <w:rPr>
          <w:rFonts w:hint="eastAsia" w:ascii="仿宋_GB2312" w:eastAsia="仿宋_GB2312"/>
          <w:sz w:val="28"/>
          <w:szCs w:val="28"/>
        </w:rPr>
        <w:t>文档、教学活动录像和其他材料，综合反映教师网络空间的日常应用情况和应用效果。同时提交空间使用说明文档，包括空间网址、评审专用临时账号密码和使用指南等。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）报送形式：作品以</w:t>
      </w:r>
      <w:r>
        <w:rPr>
          <w:rFonts w:ascii="仿宋_GB2312" w:eastAsia="仿宋_GB2312"/>
          <w:sz w:val="28"/>
          <w:szCs w:val="28"/>
        </w:rPr>
        <w:t>zip</w:t>
      </w:r>
      <w:r>
        <w:rPr>
          <w:rFonts w:hint="eastAsia" w:ascii="仿宋_GB2312" w:eastAsia="仿宋_GB2312"/>
          <w:sz w:val="28"/>
          <w:szCs w:val="28"/>
        </w:rPr>
        <w:t>压缩包格式（含附表</w:t>
      </w:r>
      <w:r>
        <w:rPr>
          <w:rFonts w:ascii="仿宋_GB2312" w:eastAsia="仿宋_GB2312"/>
          <w:sz w:val="28"/>
          <w:szCs w:val="28"/>
        </w:rPr>
        <w:t>2</w:t>
      </w:r>
      <w:r>
        <w:rPr>
          <w:rFonts w:hint="eastAsia" w:ascii="仿宋_GB2312" w:eastAsia="仿宋_GB2312"/>
          <w:sz w:val="28"/>
          <w:szCs w:val="28"/>
        </w:rPr>
        <w:t>）报送，总大小建议不超过</w:t>
      </w:r>
      <w:r>
        <w:rPr>
          <w:rFonts w:ascii="仿宋_GB2312" w:eastAsia="仿宋_GB2312"/>
          <w:sz w:val="28"/>
          <w:szCs w:val="28"/>
        </w:rPr>
        <w:t>700MB</w:t>
      </w:r>
      <w:r>
        <w:rPr>
          <w:rFonts w:hint="eastAsia" w:ascii="仿宋_GB2312" w:eastAsia="仿宋_GB2312"/>
          <w:sz w:val="28"/>
          <w:szCs w:val="28"/>
        </w:rPr>
        <w:t>。</w:t>
      </w:r>
    </w:p>
    <w:p>
      <w:pPr>
        <w:spacing w:line="4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教育资源应用教学设计方案、教育资源应用课例：是指面向教育部“教学点数字教育资源全覆盖项目”教学点征集利用数字教育资源开齐开好国家规定课程，提高教学质量的典型教学设计方案和课例。教学设计方案应体现学科特点和信息技术应用的融合性，突出展现数字教育资源的课堂应用及如何利用信息技术和数字教育资源创新教学方法、有效解决教育教学的重难点等方面内容。教育资源应用课例是指教师在学科教学中应用信息技术和数字教育资源，解决学科教学中的重难点问题的课堂教学案例。包括课堂教学实况录像、教学设计方案、教学课件和教学反思等方面内容。</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）制作要求：</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①报送的教学设计方案使用</w:t>
      </w:r>
      <w:r>
        <w:rPr>
          <w:rFonts w:ascii="仿宋_GB2312" w:eastAsia="仿宋_GB2312"/>
          <w:sz w:val="28"/>
          <w:szCs w:val="28"/>
        </w:rPr>
        <w:t>Word</w:t>
      </w:r>
      <w:r>
        <w:rPr>
          <w:rFonts w:hint="eastAsia" w:ascii="仿宋_GB2312" w:eastAsia="仿宋_GB2312"/>
          <w:sz w:val="28"/>
          <w:szCs w:val="28"/>
        </w:rPr>
        <w:t>、</w:t>
      </w:r>
      <w:r>
        <w:rPr>
          <w:rFonts w:ascii="仿宋_GB2312" w:eastAsia="仿宋_GB2312"/>
          <w:sz w:val="28"/>
          <w:szCs w:val="28"/>
        </w:rPr>
        <w:t>WPS</w:t>
      </w:r>
      <w:r>
        <w:rPr>
          <w:rFonts w:hint="eastAsia" w:ascii="仿宋_GB2312" w:eastAsia="仿宋_GB2312"/>
          <w:sz w:val="28"/>
          <w:szCs w:val="28"/>
        </w:rPr>
        <w:t>等格式。</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②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课例视频采用常用视频文件格式。</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每节课为一个标准课时。</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）报送形式：作品以</w:t>
      </w:r>
      <w:r>
        <w:rPr>
          <w:rFonts w:ascii="仿宋_GB2312" w:eastAsia="仿宋_GB2312"/>
          <w:sz w:val="28"/>
          <w:szCs w:val="28"/>
        </w:rPr>
        <w:t>zip</w:t>
      </w:r>
      <w:r>
        <w:rPr>
          <w:rFonts w:hint="eastAsia" w:ascii="仿宋_GB2312" w:eastAsia="仿宋_GB2312"/>
          <w:sz w:val="28"/>
          <w:szCs w:val="28"/>
        </w:rPr>
        <w:t>压缩包格式（含附表</w:t>
      </w:r>
      <w:r>
        <w:rPr>
          <w:rFonts w:ascii="仿宋_GB2312" w:eastAsia="仿宋_GB2312"/>
          <w:sz w:val="28"/>
          <w:szCs w:val="28"/>
        </w:rPr>
        <w:t>1</w:t>
      </w:r>
      <w:r>
        <w:rPr>
          <w:rFonts w:hint="eastAsia" w:ascii="仿宋_GB2312" w:eastAsia="仿宋_GB2312"/>
          <w:sz w:val="28"/>
          <w:szCs w:val="28"/>
        </w:rPr>
        <w:t>）报送，总大小建议不超过</w:t>
      </w:r>
      <w:r>
        <w:rPr>
          <w:rFonts w:ascii="仿宋_GB2312" w:eastAsia="仿宋_GB2312"/>
          <w:sz w:val="28"/>
          <w:szCs w:val="28"/>
        </w:rPr>
        <w:t>700MB</w:t>
      </w:r>
      <w:r>
        <w:rPr>
          <w:rFonts w:hint="eastAsia" w:ascii="仿宋_GB2312" w:eastAsia="仿宋_GB2312"/>
          <w:sz w:val="28"/>
          <w:szCs w:val="28"/>
        </w:rPr>
        <w:t>。</w:t>
      </w:r>
    </w:p>
    <w:p>
      <w:pPr>
        <w:spacing w:line="46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创新教育教学案例：是指教师使用信息技术进行创新教育教学活动，且成效显著的案例，如数字创作教学、机器人教育教学、创客教育教学、人工智能教育教学等。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）要求：须提交案例介绍文档、教学活动录像和相关材料。</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案例介绍文档可包括：教学环境设施与课程建设、教学应用情况、教学效果、教学成果、获奖情况、推广情况等。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教学活动录像：反映创新教育教学情况，针对案例特点，提供合适的教学活动录像，可以是具有代表性的单节课堂教学实录、多节课堂片段剪辑、专题介绍视频等多种形式。使用</w:t>
      </w:r>
      <w:r>
        <w:rPr>
          <w:rFonts w:ascii="仿宋_GB2312" w:eastAsia="仿宋_GB2312"/>
          <w:sz w:val="28"/>
          <w:szCs w:val="28"/>
        </w:rPr>
        <w:t>mp4</w:t>
      </w:r>
      <w:r>
        <w:rPr>
          <w:rFonts w:hint="eastAsia" w:ascii="仿宋_GB2312" w:eastAsia="仿宋_GB2312"/>
          <w:sz w:val="28"/>
          <w:szCs w:val="28"/>
        </w:rPr>
        <w:t>等常用格式，大小不超过</w:t>
      </w:r>
      <w:r>
        <w:rPr>
          <w:rFonts w:ascii="仿宋_GB2312" w:eastAsia="仿宋_GB2312"/>
          <w:sz w:val="28"/>
          <w:szCs w:val="28"/>
        </w:rPr>
        <w:t>500M</w:t>
      </w:r>
      <w:r>
        <w:rPr>
          <w:rFonts w:hint="eastAsia" w:ascii="仿宋_GB2312" w:eastAsia="仿宋_GB2312"/>
          <w:sz w:val="28"/>
          <w:szCs w:val="28"/>
        </w:rPr>
        <w:t>，时间总计不超过</w:t>
      </w:r>
      <w:r>
        <w:rPr>
          <w:rFonts w:ascii="仿宋_GB2312" w:eastAsia="仿宋_GB2312"/>
          <w:sz w:val="28"/>
          <w:szCs w:val="28"/>
        </w:rPr>
        <w:t>50</w:t>
      </w:r>
      <w:r>
        <w:rPr>
          <w:rFonts w:hint="eastAsia" w:ascii="仿宋_GB2312" w:eastAsia="仿宋_GB2312"/>
          <w:sz w:val="28"/>
          <w:szCs w:val="28"/>
        </w:rPr>
        <w:t>分钟。</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相关材料：教学设计方案、课程资源等。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）报送形式：作品以</w:t>
      </w:r>
      <w:r>
        <w:rPr>
          <w:rFonts w:ascii="仿宋_GB2312" w:eastAsia="仿宋_GB2312"/>
          <w:sz w:val="28"/>
          <w:szCs w:val="28"/>
        </w:rPr>
        <w:t>zip</w:t>
      </w:r>
      <w:r>
        <w:rPr>
          <w:rFonts w:hint="eastAsia" w:ascii="仿宋_GB2312" w:eastAsia="仿宋_GB2312"/>
          <w:sz w:val="28"/>
          <w:szCs w:val="28"/>
        </w:rPr>
        <w:t>压缩包格式（含附表</w:t>
      </w:r>
      <w:r>
        <w:rPr>
          <w:rFonts w:ascii="仿宋_GB2312" w:eastAsia="仿宋_GB2312"/>
          <w:sz w:val="28"/>
          <w:szCs w:val="28"/>
        </w:rPr>
        <w:t>2</w:t>
      </w:r>
      <w:r>
        <w:rPr>
          <w:rFonts w:hint="eastAsia" w:ascii="仿宋_GB2312" w:eastAsia="仿宋_GB2312"/>
          <w:sz w:val="28"/>
          <w:szCs w:val="28"/>
        </w:rPr>
        <w:t>）报送，总大小建议不超过</w:t>
      </w:r>
      <w:r>
        <w:rPr>
          <w:rFonts w:ascii="仿宋_GB2312" w:eastAsia="仿宋_GB2312"/>
          <w:sz w:val="28"/>
          <w:szCs w:val="28"/>
        </w:rPr>
        <w:t>700MB</w:t>
      </w:r>
      <w:r>
        <w:rPr>
          <w:rFonts w:hint="eastAsia" w:ascii="仿宋_GB2312" w:eastAsia="仿宋_GB2312"/>
          <w:sz w:val="28"/>
          <w:szCs w:val="28"/>
        </w:rPr>
        <w:t>。</w:t>
      </w:r>
    </w:p>
    <w:p>
      <w:pPr>
        <w:spacing w:line="460" w:lineRule="exact"/>
        <w:ind w:firstLine="560" w:firstLineChars="200"/>
        <w:rPr>
          <w:rFonts w:ascii="仿宋_GB2312" w:hAnsi="Courier New" w:eastAsia="仿宋_GB2312" w:cs="Courier New"/>
          <w:sz w:val="28"/>
          <w:szCs w:val="28"/>
        </w:rPr>
      </w:pPr>
      <w:r>
        <w:rPr>
          <w:rFonts w:ascii="仿宋_GB2312" w:hAnsi="Courier New" w:eastAsia="仿宋_GB2312" w:cs="Courier New"/>
          <w:sz w:val="28"/>
          <w:szCs w:val="28"/>
        </w:rPr>
        <w:t>7.</w:t>
      </w:r>
      <w:r>
        <w:rPr>
          <w:rFonts w:hint="eastAsia" w:ascii="仿宋_GB2312" w:hAnsi="Courier New" w:eastAsia="仿宋_GB2312" w:cs="Courier New"/>
          <w:sz w:val="28"/>
          <w:szCs w:val="28"/>
        </w:rPr>
        <w:t>信息化教学课程案例：是指利用信息技术优化课程教学，转变学习方式，创新课堂教学模式，教育教学改革成效显著的案例。包括课堂教学、研究性学习、实训教学、网络教学等多种方式。鼓励思政课、教师教育类的信息化教学案例报送。</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w:t>
      </w:r>
      <w:r>
        <w:rPr>
          <w:rFonts w:ascii="仿宋_GB2312" w:hAnsi="Courier New" w:eastAsia="仿宋_GB2312" w:cs="Courier New"/>
          <w:sz w:val="28"/>
          <w:szCs w:val="28"/>
        </w:rPr>
        <w:t>1</w:t>
      </w:r>
      <w:r>
        <w:rPr>
          <w:rFonts w:hint="eastAsia" w:ascii="仿宋_GB2312" w:hAnsi="Courier New" w:eastAsia="仿宋_GB2312" w:cs="Courier New"/>
          <w:sz w:val="28"/>
          <w:szCs w:val="28"/>
        </w:rPr>
        <w:t>）要求：须提交案例介绍文档、</w:t>
      </w:r>
      <w:r>
        <w:rPr>
          <w:rFonts w:hint="eastAsia" w:ascii="仿宋_GB2312" w:eastAsia="仿宋_GB2312"/>
          <w:sz w:val="28"/>
          <w:szCs w:val="28"/>
        </w:rPr>
        <w:t>教学活动录像</w:t>
      </w:r>
      <w:r>
        <w:rPr>
          <w:rFonts w:hint="eastAsia" w:ascii="仿宋_GB2312" w:hAnsi="Courier New" w:eastAsia="仿宋_GB2312" w:cs="Courier New"/>
          <w:sz w:val="28"/>
          <w:szCs w:val="28"/>
        </w:rPr>
        <w:t>和相关材料。</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案例介绍文档可包括：课程建设与应用情况、</w:t>
      </w:r>
      <w:r>
        <w:rPr>
          <w:rFonts w:hint="eastAsia" w:ascii="仿宋_GB2312" w:eastAsia="仿宋_GB2312"/>
          <w:sz w:val="28"/>
          <w:szCs w:val="28"/>
        </w:rPr>
        <w:t>教学效果、</w:t>
      </w:r>
      <w:r>
        <w:rPr>
          <w:rFonts w:hint="eastAsia" w:ascii="仿宋_GB2312" w:hAnsi="Courier New" w:eastAsia="仿宋_GB2312" w:cs="Courier New"/>
          <w:sz w:val="28"/>
          <w:szCs w:val="28"/>
        </w:rPr>
        <w:t>教学成果、获奖情况、推广情况等。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教学活动录像：反映信息化课程教学情况，针对案例特点，提供合适的教学活动录像，可以是具有代表性的单节课堂教学实录、多节课堂片段剪辑、专题介绍视频等多种形式。使用</w:t>
      </w:r>
      <w:r>
        <w:rPr>
          <w:rFonts w:ascii="仿宋_GB2312" w:eastAsia="仿宋_GB2312"/>
          <w:sz w:val="28"/>
          <w:szCs w:val="28"/>
        </w:rPr>
        <w:t>mp4</w:t>
      </w:r>
      <w:r>
        <w:rPr>
          <w:rFonts w:hint="eastAsia" w:ascii="仿宋_GB2312" w:eastAsia="仿宋_GB2312"/>
          <w:sz w:val="28"/>
          <w:szCs w:val="28"/>
        </w:rPr>
        <w:t>等常用格式，大小不超过</w:t>
      </w:r>
      <w:r>
        <w:rPr>
          <w:rFonts w:ascii="仿宋_GB2312" w:eastAsia="仿宋_GB2312"/>
          <w:sz w:val="28"/>
          <w:szCs w:val="28"/>
        </w:rPr>
        <w:t>500M</w:t>
      </w:r>
      <w:r>
        <w:rPr>
          <w:rFonts w:hint="eastAsia" w:ascii="仿宋_GB2312" w:eastAsia="仿宋_GB2312"/>
          <w:sz w:val="28"/>
          <w:szCs w:val="28"/>
        </w:rPr>
        <w:t>，时间总计不超过</w:t>
      </w:r>
      <w:r>
        <w:rPr>
          <w:rFonts w:ascii="仿宋_GB2312" w:eastAsia="仿宋_GB2312"/>
          <w:sz w:val="28"/>
          <w:szCs w:val="28"/>
        </w:rPr>
        <w:t>50</w:t>
      </w:r>
      <w:r>
        <w:rPr>
          <w:rFonts w:hint="eastAsia" w:ascii="仿宋_GB2312" w:eastAsia="仿宋_GB2312"/>
          <w:sz w:val="28"/>
          <w:szCs w:val="28"/>
        </w:rPr>
        <w:t>分钟。</w:t>
      </w:r>
    </w:p>
    <w:p>
      <w:pPr>
        <w:spacing w:line="460" w:lineRule="exact"/>
        <w:ind w:firstLine="560" w:firstLineChars="200"/>
        <w:rPr>
          <w:rFonts w:ascii="仿宋_GB2312" w:hAnsi="Courier New" w:eastAsia="仿宋_GB2312" w:cs="Courier New"/>
          <w:sz w:val="28"/>
          <w:szCs w:val="28"/>
        </w:rPr>
      </w:pPr>
      <w:r>
        <w:rPr>
          <w:rFonts w:hint="eastAsia" w:ascii="仿宋_GB2312" w:eastAsia="仿宋_GB2312"/>
          <w:sz w:val="28"/>
          <w:szCs w:val="28"/>
        </w:rPr>
        <w:t>相关材料：教学设计方案、课程资源等。</w:t>
      </w:r>
    </w:p>
    <w:p>
      <w:pPr>
        <w:spacing w:line="460" w:lineRule="exact"/>
        <w:ind w:firstLine="560" w:firstLineChars="200"/>
        <w:rPr>
          <w:rFonts w:ascii="仿宋_GB2312" w:eastAsia="仿宋_GB2312"/>
          <w:sz w:val="28"/>
          <w:szCs w:val="28"/>
        </w:rPr>
      </w:pPr>
      <w:r>
        <w:rPr>
          <w:rFonts w:hint="eastAsia" w:ascii="仿宋_GB2312" w:hAnsi="Courier New" w:eastAsia="仿宋_GB2312" w:cs="Courier New"/>
          <w:sz w:val="28"/>
          <w:szCs w:val="28"/>
        </w:rPr>
        <w:t>（</w:t>
      </w:r>
      <w:r>
        <w:rPr>
          <w:rFonts w:ascii="仿宋_GB2312" w:hAnsi="Courier New" w:eastAsia="仿宋_GB2312" w:cs="Courier New"/>
          <w:sz w:val="28"/>
          <w:szCs w:val="28"/>
        </w:rPr>
        <w:t>2</w:t>
      </w:r>
      <w:r>
        <w:rPr>
          <w:rFonts w:hint="eastAsia" w:ascii="仿宋_GB2312" w:hAnsi="Courier New" w:eastAsia="仿宋_GB2312" w:cs="Courier New"/>
          <w:sz w:val="28"/>
          <w:szCs w:val="28"/>
        </w:rPr>
        <w:t>）报送形式：作品</w:t>
      </w:r>
      <w:r>
        <w:rPr>
          <w:rFonts w:hint="eastAsia" w:ascii="仿宋_GB2312" w:eastAsia="仿宋_GB2312"/>
          <w:sz w:val="28"/>
          <w:szCs w:val="28"/>
        </w:rPr>
        <w:t>以</w:t>
      </w:r>
      <w:r>
        <w:rPr>
          <w:rFonts w:ascii="仿宋_GB2312" w:eastAsia="仿宋_GB2312"/>
          <w:sz w:val="28"/>
          <w:szCs w:val="28"/>
        </w:rPr>
        <w:t>zip</w:t>
      </w:r>
      <w:r>
        <w:rPr>
          <w:rFonts w:hint="eastAsia" w:ascii="仿宋_GB2312" w:eastAsia="仿宋_GB2312"/>
          <w:sz w:val="28"/>
          <w:szCs w:val="28"/>
        </w:rPr>
        <w:t>压缩包格式（含附表</w:t>
      </w:r>
      <w:r>
        <w:rPr>
          <w:rFonts w:ascii="仿宋_GB2312" w:eastAsia="仿宋_GB2312"/>
          <w:sz w:val="28"/>
          <w:szCs w:val="28"/>
        </w:rPr>
        <w:t>2</w:t>
      </w:r>
      <w:r>
        <w:rPr>
          <w:rFonts w:hint="eastAsia" w:ascii="仿宋_GB2312" w:eastAsia="仿宋_GB2312"/>
          <w:sz w:val="28"/>
          <w:szCs w:val="28"/>
        </w:rPr>
        <w:t>）报送，</w:t>
      </w:r>
      <w:r>
        <w:rPr>
          <w:rFonts w:hint="eastAsia" w:ascii="仿宋_GB2312" w:hAnsi="Courier New" w:eastAsia="仿宋_GB2312" w:cs="Courier New"/>
          <w:sz w:val="28"/>
          <w:szCs w:val="28"/>
        </w:rPr>
        <w:t>总大小建议不超过</w:t>
      </w:r>
      <w:r>
        <w:rPr>
          <w:rFonts w:ascii="仿宋_GB2312" w:hAnsi="Courier New" w:eastAsia="仿宋_GB2312" w:cs="Courier New"/>
          <w:sz w:val="28"/>
          <w:szCs w:val="28"/>
        </w:rPr>
        <w:t>700MB</w:t>
      </w:r>
      <w:r>
        <w:rPr>
          <w:rFonts w:hint="eastAsia" w:ascii="仿宋_GB2312" w:hAnsi="Courier New" w:eastAsia="仿宋_GB2312" w:cs="Courier New"/>
          <w:sz w:val="28"/>
          <w:szCs w:val="28"/>
        </w:rPr>
        <w:t>。</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（三）评选指标</w:t>
      </w:r>
    </w:p>
    <w:p>
      <w:pPr>
        <w:spacing w:line="440" w:lineRule="exact"/>
        <w:ind w:firstLine="560" w:firstLineChars="200"/>
        <w:rPr>
          <w:rFonts w:ascii="仿宋_GB2312" w:hAnsi="宋体" w:eastAsia="仿宋_GB2312"/>
          <w:sz w:val="28"/>
        </w:rPr>
      </w:pPr>
      <w:r>
        <w:rPr>
          <w:rFonts w:ascii="仿宋_GB2312" w:hAnsi="宋体" w:eastAsia="仿宋_GB2312"/>
          <w:sz w:val="28"/>
        </w:rPr>
        <w:t>1</w:t>
      </w:r>
      <w:r>
        <w:rPr>
          <w:rFonts w:hint="eastAsia" w:ascii="仿宋_GB2312" w:hAnsi="宋体" w:eastAsia="仿宋_GB2312"/>
          <w:sz w:val="28"/>
        </w:rPr>
        <w:t>．课件</w:t>
      </w:r>
    </w:p>
    <w:tbl>
      <w:tblPr>
        <w:tblStyle w:val="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30</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教学目标、对象明确，教学策略得当；</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界面设计合理，风格统一，有必要的交互；</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内容呈现</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ind w:left="-214"/>
              <w:rPr>
                <w:rFonts w:ascii="仿宋_GB2312" w:eastAsia="仿宋_GB2312"/>
                <w:sz w:val="28"/>
                <w:szCs w:val="28"/>
              </w:rPr>
            </w:pPr>
            <w:r>
              <w:rPr>
                <w:rFonts w:ascii="仿宋_GB2312" w:eastAsia="仿宋_GB2312"/>
                <w:sz w:val="28"/>
                <w:szCs w:val="28"/>
              </w:rPr>
              <w:tab/>
            </w:r>
            <w:r>
              <w:rPr>
                <w:rFonts w:hint="eastAsia" w:ascii="仿宋_GB2312" w:eastAsia="仿宋_GB2312"/>
                <w:sz w:val="28"/>
                <w:szCs w:val="28"/>
              </w:rPr>
              <w:t>内容丰富、科学，表述准确，术语规范；</w:t>
            </w:r>
          </w:p>
          <w:p>
            <w:pPr>
              <w:adjustRightInd w:val="0"/>
              <w:snapToGrid w:val="0"/>
              <w:spacing w:line="400" w:lineRule="exact"/>
              <w:ind w:left="-214"/>
              <w:rPr>
                <w:rFonts w:ascii="仿宋_GB2312" w:eastAsia="仿宋_GB2312"/>
                <w:sz w:val="28"/>
                <w:szCs w:val="28"/>
              </w:rPr>
            </w:pPr>
            <w:r>
              <w:rPr>
                <w:rFonts w:ascii="仿宋_GB2312" w:eastAsia="仿宋_GB2312"/>
                <w:sz w:val="28"/>
                <w:szCs w:val="28"/>
              </w:rPr>
              <w:t xml:space="preserve"> </w:t>
            </w:r>
            <w:r>
              <w:rPr>
                <w:rFonts w:ascii="仿宋_GB2312" w:eastAsia="仿宋_GB2312"/>
                <w:sz w:val="28"/>
                <w:szCs w:val="28"/>
              </w:rPr>
              <w:tab/>
            </w:r>
            <w:r>
              <w:rPr>
                <w:rFonts w:hint="eastAsia" w:ascii="仿宋_GB2312" w:eastAsia="仿宋_GB2312"/>
                <w:sz w:val="28"/>
                <w:szCs w:val="28"/>
              </w:rPr>
              <w:t>选材适当，表现方式合理；</w:t>
            </w:r>
          </w:p>
          <w:p>
            <w:pPr>
              <w:adjustRightInd w:val="0"/>
              <w:snapToGrid w:val="0"/>
              <w:spacing w:line="400" w:lineRule="exact"/>
              <w:ind w:left="-214"/>
              <w:rPr>
                <w:rFonts w:ascii="仿宋_GB2312" w:eastAsia="仿宋_GB2312"/>
                <w:sz w:val="28"/>
                <w:szCs w:val="28"/>
              </w:rPr>
            </w:pPr>
            <w:r>
              <w:rPr>
                <w:rFonts w:ascii="仿宋_GB2312" w:eastAsia="仿宋_GB2312"/>
                <w:sz w:val="28"/>
                <w:szCs w:val="28"/>
              </w:rPr>
              <w:t xml:space="preserve"> </w:t>
            </w:r>
            <w:r>
              <w:rPr>
                <w:rFonts w:ascii="仿宋_GB2312" w:eastAsia="仿宋_GB2312"/>
                <w:sz w:val="28"/>
                <w:szCs w:val="28"/>
              </w:rPr>
              <w:tab/>
            </w:r>
            <w:r>
              <w:rPr>
                <w:rFonts w:hint="eastAsia" w:ascii="仿宋_GB2312" w:eastAsia="仿宋_GB2312"/>
                <w:sz w:val="28"/>
                <w:szCs w:val="28"/>
              </w:rPr>
              <w:t>语言简洁、生动，文字规范；</w:t>
            </w:r>
          </w:p>
          <w:p>
            <w:pPr>
              <w:adjustRightInd w:val="0"/>
              <w:snapToGrid w:val="0"/>
              <w:spacing w:line="400" w:lineRule="exact"/>
              <w:ind w:left="-2" w:leftChars="-1"/>
              <w:rPr>
                <w:rFonts w:ascii="仿宋_GB2312" w:eastAsia="仿宋_GB2312"/>
                <w:sz w:val="28"/>
                <w:szCs w:val="28"/>
              </w:rPr>
            </w:pPr>
            <w:r>
              <w:rPr>
                <w:rFonts w:hint="eastAsia" w:ascii="仿宋_GB2312" w:eastAsia="仿宋_GB2312"/>
                <w:sz w:val="28"/>
                <w:szCs w:val="28"/>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技术运用</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运行流畅，操作简便、快捷，媒体播放可控；</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导航方便合理，路径可选；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创新与实用</w:t>
            </w:r>
          </w:p>
        </w:tc>
        <w:tc>
          <w:tcPr>
            <w:tcW w:w="900" w:type="dxa"/>
            <w:vAlign w:val="center"/>
          </w:tcPr>
          <w:p>
            <w:pPr>
              <w:spacing w:line="440" w:lineRule="exact"/>
              <w:jc w:val="center"/>
              <w:rPr>
                <w:rFonts w:ascii="仿宋_GB2312" w:hAnsi="宋体" w:eastAsia="仿宋_GB2312"/>
                <w:sz w:val="28"/>
              </w:rPr>
            </w:pPr>
            <w:r>
              <w:rPr>
                <w:rFonts w:ascii="仿宋_GB2312" w:hAnsi="宋体" w:eastAsia="仿宋_GB2312"/>
                <w:sz w:val="28"/>
              </w:rPr>
              <w:t>20</w:t>
            </w:r>
          </w:p>
        </w:tc>
        <w:tc>
          <w:tcPr>
            <w:tcW w:w="5760" w:type="dxa"/>
            <w:vAlign w:val="top"/>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立意新颖，具有想象力和个性表现力；</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能够运用于实际教学中，有推广价值。</w:t>
            </w:r>
          </w:p>
        </w:tc>
      </w:tr>
    </w:tbl>
    <w:p>
      <w:pPr>
        <w:spacing w:line="440" w:lineRule="exact"/>
        <w:ind w:firstLine="560" w:firstLineChars="200"/>
        <w:rPr>
          <w:rFonts w:ascii="仿宋_GB2312" w:hAnsi="宋体" w:eastAsia="仿宋_GB2312"/>
          <w:sz w:val="28"/>
        </w:rPr>
      </w:pPr>
      <w:r>
        <w:rPr>
          <w:rFonts w:ascii="仿宋_GB2312" w:hAnsi="宋体" w:eastAsia="仿宋_GB2312"/>
          <w:sz w:val="28"/>
        </w:rPr>
        <w:t>2</w:t>
      </w:r>
      <w:r>
        <w:rPr>
          <w:rFonts w:hint="eastAsia" w:ascii="仿宋_GB2312" w:hAnsi="宋体" w:eastAsia="仿宋_GB2312"/>
          <w:sz w:val="28"/>
        </w:rPr>
        <w:t>．微课</w:t>
      </w:r>
    </w:p>
    <w:tbl>
      <w:tblPr>
        <w:tblStyle w:val="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956"/>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评选指标</w:t>
            </w:r>
          </w:p>
        </w:tc>
        <w:tc>
          <w:tcPr>
            <w:tcW w:w="956"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教学设计</w:t>
            </w:r>
          </w:p>
        </w:tc>
        <w:tc>
          <w:tcPr>
            <w:tcW w:w="956" w:type="dxa"/>
            <w:vAlign w:val="center"/>
          </w:tcPr>
          <w:p>
            <w:pPr>
              <w:adjustRightInd w:val="0"/>
              <w:snapToGrid w:val="0"/>
              <w:spacing w:line="500" w:lineRule="exact"/>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体现新课标的理念</w:t>
            </w:r>
            <w:r>
              <w:rPr>
                <w:rFonts w:ascii="仿宋_GB2312" w:eastAsia="仿宋_GB2312"/>
                <w:sz w:val="28"/>
                <w:szCs w:val="28"/>
              </w:rPr>
              <w:t>,</w:t>
            </w:r>
            <w:r>
              <w:rPr>
                <w:rFonts w:hint="eastAsia" w:ascii="仿宋_GB2312" w:eastAsia="仿宋_GB2312"/>
                <w:sz w:val="28"/>
                <w:szCs w:val="28"/>
              </w:rPr>
              <w:t>主题明确、重点突出；</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教学行为</w:t>
            </w:r>
          </w:p>
        </w:tc>
        <w:tc>
          <w:tcPr>
            <w:tcW w:w="956" w:type="dxa"/>
            <w:vAlign w:val="center"/>
          </w:tcPr>
          <w:p>
            <w:pPr>
              <w:adjustRightInd w:val="0"/>
              <w:snapToGrid w:val="0"/>
              <w:spacing w:line="500" w:lineRule="exact"/>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教学思路清晰，重点突出，逻辑性强；</w:t>
            </w:r>
          </w:p>
          <w:p>
            <w:pPr>
              <w:adjustRightInd w:val="0"/>
              <w:snapToGrid w:val="0"/>
              <w:spacing w:line="400" w:lineRule="exact"/>
              <w:ind w:left="1" w:leftChars="-5" w:hanging="11" w:hangingChars="4"/>
              <w:rPr>
                <w:rFonts w:ascii="仿宋_GB2312" w:eastAsia="仿宋_GB2312"/>
                <w:sz w:val="28"/>
                <w:szCs w:val="28"/>
              </w:rPr>
            </w:pPr>
            <w:r>
              <w:rPr>
                <w:rFonts w:hint="eastAsia" w:ascii="仿宋_GB2312" w:eastAsia="仿宋_GB2312"/>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教学效果</w:t>
            </w:r>
          </w:p>
        </w:tc>
        <w:tc>
          <w:tcPr>
            <w:tcW w:w="956" w:type="dxa"/>
            <w:vAlign w:val="center"/>
          </w:tcPr>
          <w:p>
            <w:pPr>
              <w:adjustRightInd w:val="0"/>
              <w:snapToGrid w:val="0"/>
              <w:spacing w:line="500" w:lineRule="exact"/>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创新与实用</w:t>
            </w:r>
          </w:p>
        </w:tc>
        <w:tc>
          <w:tcPr>
            <w:tcW w:w="956" w:type="dxa"/>
            <w:vAlign w:val="center"/>
          </w:tcPr>
          <w:p>
            <w:pPr>
              <w:adjustRightInd w:val="0"/>
              <w:snapToGrid w:val="0"/>
              <w:spacing w:line="400" w:lineRule="exact"/>
              <w:ind w:leftChars="-36" w:hanging="75" w:hangingChars="27"/>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形式新颖，趣味性和启发性强</w:t>
            </w:r>
            <w:r>
              <w:rPr>
                <w:rFonts w:ascii="仿宋_GB2312" w:eastAsia="仿宋_GB2312"/>
                <w:sz w:val="28"/>
                <w:szCs w:val="28"/>
              </w:rPr>
              <w:t xml:space="preserve">; </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视频声画质量好；</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实际教学应用效果明显，有推广价值。</w:t>
            </w:r>
          </w:p>
        </w:tc>
      </w:tr>
    </w:tbl>
    <w:p>
      <w:pPr>
        <w:spacing w:line="440" w:lineRule="exact"/>
        <w:ind w:firstLine="560" w:firstLineChars="200"/>
        <w:rPr>
          <w:rFonts w:ascii="仿宋_GB2312" w:eastAsia="仿宋_GB2312"/>
          <w:sz w:val="28"/>
          <w:szCs w:val="28"/>
        </w:rPr>
      </w:pPr>
      <w:r>
        <w:rPr>
          <w:rFonts w:ascii="仿宋_GB2312" w:hAnsi="宋体" w:eastAsia="仿宋_GB2312"/>
          <w:sz w:val="28"/>
        </w:rPr>
        <w:t>3</w:t>
      </w:r>
      <w:r>
        <w:rPr>
          <w:rFonts w:hint="eastAsia" w:ascii="仿宋_GB2312" w:hAnsi="宋体" w:eastAsia="仿宋_GB2312"/>
          <w:sz w:val="28"/>
        </w:rPr>
        <w:t>．</w:t>
      </w:r>
      <w:r>
        <w:rPr>
          <w:rFonts w:hint="eastAsia" w:ascii="仿宋_GB2312" w:eastAsia="仿宋_GB2312"/>
          <w:sz w:val="28"/>
          <w:szCs w:val="28"/>
        </w:rPr>
        <w:t>课例</w:t>
      </w:r>
    </w:p>
    <w:tbl>
      <w:tblPr>
        <w:tblStyle w:val="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教学目标</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体现新课标的理念；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教学目标明确；</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恰当选择应用学科教育资源；</w:t>
            </w:r>
          </w:p>
          <w:p>
            <w:pPr>
              <w:adjustRightInd w:val="0"/>
              <w:snapToGrid w:val="0"/>
              <w:spacing w:line="400" w:lineRule="exact"/>
              <w:rPr>
                <w:rFonts w:ascii="仿宋_GB2312" w:eastAsia="仿宋_GB2312"/>
                <w:sz w:val="28"/>
                <w:szCs w:val="28"/>
              </w:rPr>
            </w:pPr>
            <w:r>
              <w:rPr>
                <w:rFonts w:hint="eastAsia" w:ascii="仿宋_GB2312" w:hAnsi="宋体" w:eastAsia="仿宋_GB2312"/>
                <w:sz w:val="28"/>
              </w:rPr>
              <w:t>注重学科特点，</w:t>
            </w:r>
            <w:r>
              <w:rPr>
                <w:rFonts w:hint="eastAsia" w:ascii="仿宋_GB2312" w:eastAsia="仿宋_GB2312"/>
                <w:sz w:val="28"/>
                <w:szCs w:val="28"/>
              </w:rPr>
              <w:t>将信息技术与学科教学融合；</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采用符合教学要求的学习模式</w:t>
            </w:r>
            <w:r>
              <w:rPr>
                <w:rFonts w:hint="eastAsia" w:ascii="仿宋_GB2312" w:hAnsi="宋体"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教学行为</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ind w:left="-214"/>
              <w:rPr>
                <w:rFonts w:ascii="仿宋_GB2312" w:eastAsia="仿宋_GB2312"/>
                <w:sz w:val="28"/>
                <w:szCs w:val="28"/>
              </w:rPr>
            </w:pPr>
            <w:r>
              <w:rPr>
                <w:rFonts w:ascii="仿宋_GB2312" w:eastAsia="仿宋_GB2312"/>
                <w:sz w:val="28"/>
                <w:szCs w:val="28"/>
              </w:rPr>
              <w:tab/>
            </w:r>
            <w:r>
              <w:rPr>
                <w:rFonts w:hint="eastAsia" w:ascii="仿宋_GB2312" w:eastAsia="仿宋_GB2312"/>
                <w:sz w:val="28"/>
                <w:szCs w:val="28"/>
              </w:rPr>
              <w:t>面向全体学生，关注个性差异；</w:t>
            </w:r>
          </w:p>
          <w:p>
            <w:pPr>
              <w:adjustRightInd w:val="0"/>
              <w:snapToGrid w:val="0"/>
              <w:spacing w:line="400" w:lineRule="exact"/>
              <w:ind w:left="-214"/>
              <w:rPr>
                <w:rFonts w:ascii="仿宋_GB2312" w:eastAsia="仿宋_GB2312"/>
                <w:sz w:val="28"/>
                <w:szCs w:val="28"/>
              </w:rPr>
            </w:pPr>
            <w:r>
              <w:rPr>
                <w:rFonts w:ascii="仿宋_GB2312" w:eastAsia="仿宋_GB2312"/>
                <w:sz w:val="28"/>
                <w:szCs w:val="28"/>
              </w:rPr>
              <w:t xml:space="preserve"> </w:t>
            </w:r>
            <w:r>
              <w:rPr>
                <w:rFonts w:ascii="仿宋_GB2312" w:eastAsia="仿宋_GB2312"/>
                <w:sz w:val="28"/>
                <w:szCs w:val="28"/>
              </w:rPr>
              <w:tab/>
            </w:r>
            <w:r>
              <w:rPr>
                <w:rFonts w:hint="eastAsia" w:ascii="仿宋_GB2312" w:eastAsia="仿宋_GB2312"/>
                <w:sz w:val="28"/>
                <w:szCs w:val="28"/>
              </w:rPr>
              <w:t>能利用信息技术的功能优势调控教学活动；</w:t>
            </w:r>
          </w:p>
          <w:p>
            <w:pPr>
              <w:adjustRightInd w:val="0"/>
              <w:snapToGrid w:val="0"/>
              <w:spacing w:line="400" w:lineRule="exact"/>
              <w:ind w:left="-214"/>
              <w:rPr>
                <w:rFonts w:ascii="仿宋_GB2312" w:eastAsia="仿宋_GB2312"/>
                <w:sz w:val="28"/>
                <w:szCs w:val="28"/>
              </w:rPr>
            </w:pPr>
            <w:r>
              <w:rPr>
                <w:rFonts w:ascii="仿宋_GB2312" w:eastAsia="仿宋_GB2312"/>
                <w:sz w:val="28"/>
                <w:szCs w:val="28"/>
              </w:rPr>
              <w:t xml:space="preserve"> </w:t>
            </w:r>
            <w:r>
              <w:rPr>
                <w:rFonts w:ascii="仿宋_GB2312" w:eastAsia="仿宋_GB2312"/>
                <w:sz w:val="28"/>
                <w:szCs w:val="28"/>
              </w:rPr>
              <w:tab/>
            </w:r>
            <w:r>
              <w:rPr>
                <w:rFonts w:hint="eastAsia" w:ascii="仿宋_GB2312"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教学反思</w:t>
            </w:r>
          </w:p>
        </w:tc>
        <w:tc>
          <w:tcPr>
            <w:tcW w:w="900" w:type="dxa"/>
            <w:vAlign w:val="top"/>
          </w:tcPr>
          <w:p>
            <w:pPr>
              <w:spacing w:line="440" w:lineRule="exact"/>
              <w:jc w:val="center"/>
              <w:rPr>
                <w:rFonts w:ascii="仿宋_GB2312" w:hAnsi="宋体" w:eastAsia="仿宋_GB2312"/>
                <w:sz w:val="28"/>
              </w:rPr>
            </w:pPr>
            <w:r>
              <w:rPr>
                <w:rFonts w:ascii="仿宋_GB2312" w:hAnsi="宋体" w:eastAsia="仿宋_GB2312"/>
                <w:sz w:val="28"/>
              </w:rPr>
              <w:t>10</w:t>
            </w:r>
          </w:p>
        </w:tc>
        <w:tc>
          <w:tcPr>
            <w:tcW w:w="5760" w:type="dxa"/>
            <w:vAlign w:val="top"/>
          </w:tcPr>
          <w:p>
            <w:pPr>
              <w:adjustRightInd w:val="0"/>
              <w:snapToGrid w:val="0"/>
              <w:spacing w:line="400" w:lineRule="exact"/>
              <w:rPr>
                <w:rFonts w:ascii="仿宋_GB2312" w:hAnsi="宋体" w:eastAsia="仿宋_GB2312"/>
                <w:sz w:val="28"/>
              </w:rPr>
            </w:pPr>
            <w:r>
              <w:rPr>
                <w:rFonts w:hint="eastAsia" w:ascii="仿宋_GB2312" w:hAnsi="宋体" w:eastAsia="仿宋_GB2312"/>
                <w:sz w:val="28"/>
              </w:rPr>
              <w:t>有及时的反馈、评价和课后反思。</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 xml:space="preserve">4. </w:t>
      </w:r>
      <w:r>
        <w:rPr>
          <w:rFonts w:hint="eastAsia" w:ascii="仿宋_GB2312" w:hAnsi="Courier New" w:eastAsia="仿宋_GB2312" w:cs="Courier New"/>
          <w:sz w:val="28"/>
          <w:szCs w:val="28"/>
        </w:rPr>
        <w:t>教师网络空间应用案例</w:t>
      </w:r>
    </w:p>
    <w:tbl>
      <w:tblPr>
        <w:tblStyle w:val="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内容建设</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10</w:t>
            </w:r>
          </w:p>
        </w:tc>
        <w:tc>
          <w:tcPr>
            <w:tcW w:w="5760" w:type="dxa"/>
            <w:vAlign w:val="top"/>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个性化设置合理，主题鲜明，特色突出；</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栏目内容丰富，记录完整，更新及时；</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40</w:t>
            </w:r>
          </w:p>
        </w:tc>
        <w:tc>
          <w:tcPr>
            <w:tcW w:w="5760" w:type="dxa"/>
            <w:vAlign w:val="top"/>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备课、教研、教学等活动记录完整；</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教研形式、内容有创新，</w:t>
            </w:r>
            <w:r>
              <w:rPr>
                <w:rFonts w:hint="eastAsia" w:ascii="仿宋_GB2312" w:hAnsi="Courier New" w:eastAsia="仿宋_GB2312" w:cs="Courier New"/>
                <w:sz w:val="28"/>
                <w:szCs w:val="28"/>
              </w:rPr>
              <w:t>尊重他人知识产权</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课堂内外、线上线下多种教学活动丰富；</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在线指导，在线作业、测试等分层、个性化学习评价诊断全面；</w:t>
            </w:r>
          </w:p>
          <w:p>
            <w:pPr>
              <w:adjustRightInd w:val="0"/>
              <w:snapToGrid w:val="0"/>
              <w:spacing w:line="400" w:lineRule="exact"/>
              <w:rPr>
                <w:rFonts w:ascii="仿宋_GB2312" w:hAnsi="Courier New" w:eastAsia="仿宋_GB2312" w:cs="Courier New"/>
                <w:sz w:val="28"/>
                <w:szCs w:val="28"/>
              </w:rPr>
            </w:pPr>
            <w:r>
              <w:rPr>
                <w:rFonts w:hint="eastAsia" w:ascii="仿宋_GB2312" w:eastAsia="仿宋_GB2312"/>
                <w:sz w:val="28"/>
                <w:szCs w:val="28"/>
              </w:rPr>
              <w:t>师生互动、家校互动信息丰富，效果良好。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应用效果</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30</w:t>
            </w:r>
          </w:p>
        </w:tc>
        <w:tc>
          <w:tcPr>
            <w:tcW w:w="5760" w:type="dxa"/>
            <w:vAlign w:val="top"/>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支撑常规教育教学活动，创新课堂教学模式有效果；</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成果丰富，能力素质教育成效高；</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形成师生互动、家校互动新模式；</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特色创新</w:t>
            </w:r>
          </w:p>
        </w:tc>
        <w:tc>
          <w:tcPr>
            <w:tcW w:w="900" w:type="dxa"/>
            <w:vAlign w:val="center"/>
          </w:tcPr>
          <w:p>
            <w:pPr>
              <w:spacing w:line="440" w:lineRule="exact"/>
              <w:jc w:val="center"/>
              <w:rPr>
                <w:rFonts w:ascii="仿宋_GB2312" w:hAnsi="宋体" w:eastAsia="仿宋_GB2312"/>
                <w:sz w:val="28"/>
              </w:rPr>
            </w:pPr>
            <w:r>
              <w:rPr>
                <w:rFonts w:ascii="仿宋_GB2312" w:hAnsi="宋体" w:eastAsia="仿宋_GB2312"/>
                <w:sz w:val="28"/>
              </w:rPr>
              <w:t>20</w:t>
            </w:r>
          </w:p>
        </w:tc>
        <w:tc>
          <w:tcPr>
            <w:tcW w:w="5760" w:type="dxa"/>
            <w:vAlign w:val="center"/>
          </w:tcPr>
          <w:p>
            <w:pPr>
              <w:adjustRightInd w:val="0"/>
              <w:snapToGrid w:val="0"/>
              <w:spacing w:line="400" w:lineRule="exact"/>
              <w:rPr>
                <w:rFonts w:ascii="仿宋_GB2312" w:hAnsi="宋体" w:eastAsia="仿宋_GB2312"/>
                <w:sz w:val="28"/>
              </w:rPr>
            </w:pPr>
            <w:r>
              <w:rPr>
                <w:rFonts w:hint="eastAsia" w:ascii="仿宋_GB2312" w:hAnsi="Courier New" w:eastAsia="仿宋_GB2312" w:cs="Courier New"/>
                <w:sz w:val="28"/>
                <w:szCs w:val="28"/>
              </w:rPr>
              <w:t>在网络教研、</w:t>
            </w:r>
            <w:r>
              <w:rPr>
                <w:rFonts w:hint="eastAsia" w:ascii="仿宋_GB2312" w:eastAsia="仿宋_GB2312"/>
                <w:sz w:val="28"/>
                <w:szCs w:val="28"/>
              </w:rPr>
              <w:t>网络教学、资源共享、教育管理、综合素质评价等某个或多个方面，形成了应用模式，有效促进教学方式和学习方式变革。</w:t>
            </w:r>
          </w:p>
        </w:tc>
      </w:tr>
    </w:tbl>
    <w:p>
      <w:pPr>
        <w:spacing w:line="440" w:lineRule="exact"/>
        <w:ind w:firstLine="560" w:firstLineChars="200"/>
        <w:rPr>
          <w:rFonts w:ascii="仿宋_GB2312" w:hAnsi="宋体" w:eastAsia="仿宋_GB2312"/>
          <w:sz w:val="28"/>
        </w:rPr>
      </w:pPr>
      <w:r>
        <w:rPr>
          <w:rFonts w:ascii="仿宋_GB2312" w:hAnsi="宋体" w:eastAsia="仿宋_GB2312"/>
          <w:sz w:val="28"/>
        </w:rPr>
        <w:t>5</w:t>
      </w:r>
      <w:r>
        <w:rPr>
          <w:rFonts w:hint="eastAsia" w:ascii="仿宋_GB2312" w:hAnsi="宋体" w:eastAsia="仿宋_GB2312"/>
          <w:sz w:val="28"/>
        </w:rPr>
        <w:t>．（</w:t>
      </w:r>
      <w:r>
        <w:rPr>
          <w:rFonts w:ascii="仿宋_GB2312" w:hAnsi="宋体" w:eastAsia="仿宋_GB2312"/>
          <w:sz w:val="28"/>
        </w:rPr>
        <w:t>1</w:t>
      </w:r>
      <w:r>
        <w:rPr>
          <w:rFonts w:hint="eastAsia" w:ascii="仿宋_GB2312" w:hAnsi="宋体" w:eastAsia="仿宋_GB2312"/>
          <w:sz w:val="28"/>
        </w:rPr>
        <w:t>）教育资源应用教学设计方案</w:t>
      </w:r>
    </w:p>
    <w:tbl>
      <w:tblPr>
        <w:tblStyle w:val="5"/>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816"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学习者特征分析</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15</w:t>
            </w:r>
          </w:p>
        </w:tc>
        <w:tc>
          <w:tcPr>
            <w:tcW w:w="5816"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准确分析学习者的一般特征和初始能力；</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把握信息化环境对学习者的影响；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教学目标</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15</w:t>
            </w:r>
          </w:p>
        </w:tc>
        <w:tc>
          <w:tcPr>
            <w:tcW w:w="5816"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体现新课标的理念；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教学目标明确；</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教学策略</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25</w:t>
            </w:r>
          </w:p>
        </w:tc>
        <w:tc>
          <w:tcPr>
            <w:tcW w:w="5816"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教学方式设计符合学习需要和教学目标；</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教学方法选择恰当；</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教学过程设计合理；</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注重信息技术与学科教学的融合。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教育资源</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25</w:t>
            </w:r>
          </w:p>
        </w:tc>
        <w:tc>
          <w:tcPr>
            <w:tcW w:w="5816" w:type="dxa"/>
            <w:vAlign w:val="center"/>
          </w:tcPr>
          <w:p>
            <w:pPr>
              <w:adjustRightInd w:val="0"/>
              <w:snapToGrid w:val="0"/>
              <w:rPr>
                <w:rFonts w:ascii="仿宋_GB2312" w:eastAsia="仿宋_GB2312"/>
                <w:sz w:val="28"/>
                <w:szCs w:val="28"/>
              </w:rPr>
            </w:pPr>
            <w:r>
              <w:rPr>
                <w:rFonts w:hint="eastAsia" w:ascii="仿宋_GB2312" w:eastAsia="仿宋_GB2312"/>
                <w:sz w:val="28"/>
                <w:szCs w:val="28"/>
              </w:rPr>
              <w:t>学科教育资源选择恰当</w:t>
            </w:r>
            <w:r>
              <w:rPr>
                <w:rFonts w:ascii="仿宋_GB2312" w:eastAsia="仿宋_GB2312"/>
                <w:sz w:val="28"/>
                <w:szCs w:val="28"/>
              </w:rPr>
              <w:t>;</w:t>
            </w:r>
          </w:p>
          <w:p>
            <w:pPr>
              <w:adjustRightInd w:val="0"/>
              <w:snapToGrid w:val="0"/>
              <w:rPr>
                <w:rFonts w:ascii="仿宋_GB2312" w:eastAsia="仿宋_GB2312"/>
                <w:sz w:val="28"/>
                <w:szCs w:val="28"/>
              </w:rPr>
            </w:pPr>
            <w:r>
              <w:rPr>
                <w:rFonts w:hint="eastAsia" w:ascii="仿宋_GB2312" w:eastAsia="仿宋_GB2312"/>
                <w:sz w:val="28"/>
                <w:szCs w:val="28"/>
              </w:rPr>
              <w:t>信息技术运用合理；</w:t>
            </w:r>
          </w:p>
          <w:p>
            <w:pPr>
              <w:adjustRightInd w:val="0"/>
              <w:snapToGrid w:val="0"/>
              <w:rPr>
                <w:rFonts w:ascii="仿宋_GB2312" w:eastAsia="仿宋_GB2312"/>
                <w:sz w:val="28"/>
                <w:szCs w:val="28"/>
              </w:rPr>
            </w:pPr>
            <w:r>
              <w:rPr>
                <w:rFonts w:hint="eastAsia" w:ascii="仿宋_GB2312" w:eastAsia="仿宋_GB2312"/>
                <w:sz w:val="28"/>
                <w:szCs w:val="28"/>
              </w:rPr>
              <w:t>充分利用教育资源创新课堂教学。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学习者评价</w:t>
            </w:r>
          </w:p>
        </w:tc>
        <w:tc>
          <w:tcPr>
            <w:tcW w:w="900" w:type="dxa"/>
            <w:vAlign w:val="center"/>
          </w:tcPr>
          <w:p>
            <w:pPr>
              <w:adjustRightInd w:val="0"/>
              <w:snapToGrid w:val="0"/>
              <w:spacing w:line="400" w:lineRule="exact"/>
              <w:jc w:val="center"/>
              <w:rPr>
                <w:rFonts w:ascii="仿宋_GB2312" w:hAnsi="宋体" w:eastAsia="仿宋_GB2312"/>
                <w:sz w:val="28"/>
              </w:rPr>
            </w:pPr>
            <w:r>
              <w:rPr>
                <w:rFonts w:ascii="仿宋_GB2312" w:eastAsia="仿宋_GB2312"/>
                <w:sz w:val="28"/>
                <w:szCs w:val="28"/>
              </w:rPr>
              <w:t>20</w:t>
            </w:r>
          </w:p>
        </w:tc>
        <w:tc>
          <w:tcPr>
            <w:tcW w:w="5816" w:type="dxa"/>
            <w:vAlign w:val="top"/>
          </w:tcPr>
          <w:p>
            <w:pPr>
              <w:adjustRightInd w:val="0"/>
              <w:snapToGrid w:val="0"/>
              <w:spacing w:line="400" w:lineRule="exact"/>
              <w:rPr>
                <w:rFonts w:ascii="仿宋_GB2312" w:hAnsi="宋体" w:eastAsia="仿宋_GB2312"/>
                <w:sz w:val="28"/>
              </w:rPr>
            </w:pPr>
            <w:r>
              <w:rPr>
                <w:rFonts w:hint="eastAsia" w:ascii="仿宋_GB2312" w:hAnsi="宋体" w:eastAsia="仿宋_GB2312"/>
                <w:sz w:val="28"/>
              </w:rPr>
              <w:t>充分运用信息技术在教学评价中的优势；</w:t>
            </w:r>
          </w:p>
          <w:p>
            <w:pPr>
              <w:adjustRightInd w:val="0"/>
              <w:snapToGrid w:val="0"/>
              <w:spacing w:line="400" w:lineRule="exact"/>
              <w:rPr>
                <w:rFonts w:ascii="仿宋_GB2312" w:hAnsi="宋体" w:eastAsia="仿宋_GB2312"/>
                <w:sz w:val="28"/>
              </w:rPr>
            </w:pPr>
            <w:r>
              <w:rPr>
                <w:rFonts w:hint="eastAsia" w:ascii="仿宋_GB2312" w:hAnsi="宋体" w:eastAsia="仿宋_GB2312"/>
                <w:sz w:val="28"/>
              </w:rPr>
              <w:t>关注个体差异，评价指标和方法多元化；</w:t>
            </w:r>
          </w:p>
          <w:p>
            <w:pPr>
              <w:adjustRightInd w:val="0"/>
              <w:snapToGrid w:val="0"/>
              <w:spacing w:line="400" w:lineRule="exact"/>
              <w:rPr>
                <w:rFonts w:ascii="仿宋_GB2312" w:hAnsi="宋体" w:eastAsia="仿宋_GB2312"/>
                <w:sz w:val="28"/>
              </w:rPr>
            </w:pPr>
            <w:r>
              <w:rPr>
                <w:rFonts w:hint="eastAsia" w:ascii="仿宋_GB2312" w:hAnsi="宋体" w:eastAsia="仿宋_GB2312"/>
                <w:sz w:val="28"/>
              </w:rPr>
              <w:t>注重过程，总结性评价和形成性评价相结合。</w:t>
            </w:r>
          </w:p>
        </w:tc>
      </w:tr>
    </w:tbl>
    <w:p>
      <w:pPr>
        <w:spacing w:line="440" w:lineRule="exact"/>
        <w:ind w:firstLine="560" w:firstLineChars="200"/>
        <w:rPr>
          <w:rFonts w:ascii="仿宋_GB2312" w:eastAsia="仿宋_GB2312"/>
          <w:sz w:val="28"/>
          <w:szCs w:val="28"/>
        </w:rPr>
      </w:pPr>
      <w:r>
        <w:rPr>
          <w:rFonts w:hint="eastAsia" w:ascii="仿宋_GB2312" w:hAnsi="宋体" w:eastAsia="仿宋_GB2312"/>
          <w:sz w:val="28"/>
        </w:rPr>
        <w:t>（</w:t>
      </w:r>
      <w:r>
        <w:rPr>
          <w:rFonts w:ascii="仿宋_GB2312" w:hAnsi="宋体" w:eastAsia="仿宋_GB2312"/>
          <w:sz w:val="28"/>
        </w:rPr>
        <w:t>2</w:t>
      </w:r>
      <w:r>
        <w:rPr>
          <w:rFonts w:hint="eastAsia" w:ascii="仿宋_GB2312" w:hAnsi="宋体" w:eastAsia="仿宋_GB2312"/>
          <w:sz w:val="28"/>
        </w:rPr>
        <w:t>）教育资源应用</w:t>
      </w:r>
      <w:r>
        <w:rPr>
          <w:rFonts w:hint="eastAsia" w:ascii="仿宋_GB2312" w:eastAsia="仿宋_GB2312"/>
          <w:sz w:val="28"/>
          <w:szCs w:val="28"/>
        </w:rPr>
        <w:t>课例</w:t>
      </w:r>
    </w:p>
    <w:tbl>
      <w:tblPr>
        <w:tblStyle w:val="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教学目标</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体现新课标的理念；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教学目标明确；</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恰当选择应用学科教育资源；</w:t>
            </w:r>
          </w:p>
          <w:p>
            <w:pPr>
              <w:adjustRightInd w:val="0"/>
              <w:snapToGrid w:val="0"/>
              <w:spacing w:line="400" w:lineRule="exact"/>
              <w:rPr>
                <w:rFonts w:ascii="仿宋_GB2312" w:eastAsia="仿宋_GB2312"/>
                <w:sz w:val="28"/>
                <w:szCs w:val="28"/>
              </w:rPr>
            </w:pPr>
            <w:r>
              <w:rPr>
                <w:rFonts w:hint="eastAsia" w:ascii="仿宋_GB2312" w:hAnsi="宋体" w:eastAsia="仿宋_GB2312"/>
                <w:sz w:val="28"/>
              </w:rPr>
              <w:t>注重学科特点，</w:t>
            </w:r>
            <w:r>
              <w:rPr>
                <w:rFonts w:hint="eastAsia" w:ascii="仿宋_GB2312" w:eastAsia="仿宋_GB2312"/>
                <w:sz w:val="28"/>
                <w:szCs w:val="28"/>
              </w:rPr>
              <w:t>将信息技术与学科教学融合；</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采用符合教学要求的学习模式</w:t>
            </w:r>
            <w:r>
              <w:rPr>
                <w:rFonts w:hint="eastAsia" w:ascii="仿宋_GB2312" w:hAnsi="宋体"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教学行为</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ind w:left="-214"/>
              <w:rPr>
                <w:rFonts w:ascii="仿宋_GB2312" w:eastAsia="仿宋_GB2312"/>
                <w:sz w:val="28"/>
                <w:szCs w:val="28"/>
              </w:rPr>
            </w:pPr>
            <w:r>
              <w:rPr>
                <w:rFonts w:ascii="仿宋_GB2312" w:eastAsia="仿宋_GB2312"/>
                <w:sz w:val="28"/>
                <w:szCs w:val="28"/>
              </w:rPr>
              <w:tab/>
            </w:r>
            <w:r>
              <w:rPr>
                <w:rFonts w:hint="eastAsia" w:ascii="仿宋_GB2312" w:eastAsia="仿宋_GB2312"/>
                <w:sz w:val="28"/>
                <w:szCs w:val="28"/>
              </w:rPr>
              <w:t>面向全体学生，关注个性差异；</w:t>
            </w:r>
          </w:p>
          <w:p>
            <w:pPr>
              <w:adjustRightInd w:val="0"/>
              <w:snapToGrid w:val="0"/>
              <w:spacing w:line="400" w:lineRule="exact"/>
              <w:ind w:left="-214"/>
              <w:rPr>
                <w:rFonts w:ascii="仿宋_GB2312" w:eastAsia="仿宋_GB2312"/>
                <w:sz w:val="28"/>
                <w:szCs w:val="28"/>
              </w:rPr>
            </w:pPr>
            <w:r>
              <w:rPr>
                <w:rFonts w:ascii="仿宋_GB2312" w:eastAsia="仿宋_GB2312"/>
                <w:sz w:val="28"/>
                <w:szCs w:val="28"/>
              </w:rPr>
              <w:t xml:space="preserve"> </w:t>
            </w:r>
            <w:r>
              <w:rPr>
                <w:rFonts w:ascii="仿宋_GB2312" w:eastAsia="仿宋_GB2312"/>
                <w:sz w:val="28"/>
                <w:szCs w:val="28"/>
              </w:rPr>
              <w:tab/>
            </w:r>
            <w:r>
              <w:rPr>
                <w:rFonts w:hint="eastAsia" w:ascii="仿宋_GB2312" w:eastAsia="仿宋_GB2312"/>
                <w:sz w:val="28"/>
                <w:szCs w:val="28"/>
              </w:rPr>
              <w:t>能利用信息技术的功能优势调控教学活动；</w:t>
            </w:r>
          </w:p>
          <w:p>
            <w:pPr>
              <w:adjustRightInd w:val="0"/>
              <w:snapToGrid w:val="0"/>
              <w:spacing w:line="400" w:lineRule="exact"/>
              <w:ind w:left="-214"/>
              <w:rPr>
                <w:rFonts w:ascii="仿宋_GB2312" w:eastAsia="仿宋_GB2312"/>
                <w:sz w:val="28"/>
                <w:szCs w:val="28"/>
              </w:rPr>
            </w:pPr>
            <w:r>
              <w:rPr>
                <w:rFonts w:ascii="仿宋_GB2312" w:eastAsia="仿宋_GB2312"/>
                <w:sz w:val="28"/>
                <w:szCs w:val="28"/>
              </w:rPr>
              <w:t xml:space="preserve"> </w:t>
            </w:r>
            <w:r>
              <w:rPr>
                <w:rFonts w:ascii="仿宋_GB2312" w:eastAsia="仿宋_GB2312"/>
                <w:sz w:val="28"/>
                <w:szCs w:val="28"/>
              </w:rPr>
              <w:tab/>
            </w:r>
            <w:r>
              <w:rPr>
                <w:rFonts w:hint="eastAsia" w:ascii="仿宋_GB2312"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top"/>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教学反思</w:t>
            </w:r>
          </w:p>
        </w:tc>
        <w:tc>
          <w:tcPr>
            <w:tcW w:w="900" w:type="dxa"/>
            <w:vAlign w:val="top"/>
          </w:tcPr>
          <w:p>
            <w:pPr>
              <w:spacing w:line="440" w:lineRule="exact"/>
              <w:jc w:val="center"/>
              <w:rPr>
                <w:rFonts w:ascii="仿宋_GB2312" w:hAnsi="宋体" w:eastAsia="仿宋_GB2312"/>
                <w:sz w:val="28"/>
              </w:rPr>
            </w:pPr>
            <w:r>
              <w:rPr>
                <w:rFonts w:ascii="仿宋_GB2312" w:hAnsi="宋体" w:eastAsia="仿宋_GB2312"/>
                <w:sz w:val="28"/>
              </w:rPr>
              <w:t>10</w:t>
            </w:r>
          </w:p>
        </w:tc>
        <w:tc>
          <w:tcPr>
            <w:tcW w:w="5760" w:type="dxa"/>
            <w:vAlign w:val="top"/>
          </w:tcPr>
          <w:p>
            <w:pPr>
              <w:adjustRightInd w:val="0"/>
              <w:snapToGrid w:val="0"/>
              <w:spacing w:line="400" w:lineRule="exact"/>
              <w:rPr>
                <w:rFonts w:ascii="仿宋_GB2312" w:hAnsi="宋体" w:eastAsia="仿宋_GB2312"/>
                <w:sz w:val="28"/>
              </w:rPr>
            </w:pPr>
            <w:r>
              <w:rPr>
                <w:rFonts w:hint="eastAsia" w:ascii="仿宋_GB2312" w:hAnsi="宋体" w:eastAsia="仿宋_GB2312"/>
                <w:sz w:val="28"/>
              </w:rPr>
              <w:t>有及时的反馈、评价和课后反思。</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6.</w:t>
      </w:r>
      <w:r>
        <w:rPr>
          <w:rFonts w:hint="eastAsia" w:ascii="仿宋_GB2312" w:hAnsi="Courier New" w:eastAsia="仿宋_GB2312" w:cs="Courier New"/>
          <w:sz w:val="28"/>
          <w:szCs w:val="28"/>
        </w:rPr>
        <w:t>创新教育教学案例</w:t>
      </w:r>
    </w:p>
    <w:tbl>
      <w:tblPr>
        <w:tblStyle w:val="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课程建设</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15</w:t>
            </w:r>
          </w:p>
        </w:tc>
        <w:tc>
          <w:tcPr>
            <w:tcW w:w="5760" w:type="dxa"/>
            <w:vAlign w:val="top"/>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教学环境设施满足需求，有特色；</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课程建设完整，包括课程目标、课程内容、课程实施和课程评价等；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教学资源丰富，形式多样。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35</w:t>
            </w:r>
          </w:p>
        </w:tc>
        <w:tc>
          <w:tcPr>
            <w:tcW w:w="5760" w:type="dxa"/>
            <w:vAlign w:val="top"/>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教学方式多样；</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30</w:t>
            </w:r>
          </w:p>
        </w:tc>
        <w:tc>
          <w:tcPr>
            <w:tcW w:w="5760" w:type="dxa"/>
            <w:vAlign w:val="top"/>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有常态化应用，学生深度参与，活跃度高，教学效果突出；</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教师、学生成果丰富，校内外评价好；</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特色创新</w:t>
            </w:r>
          </w:p>
        </w:tc>
        <w:tc>
          <w:tcPr>
            <w:tcW w:w="900" w:type="dxa"/>
            <w:vAlign w:val="center"/>
          </w:tcPr>
          <w:p>
            <w:pPr>
              <w:spacing w:line="440" w:lineRule="exact"/>
              <w:jc w:val="center"/>
              <w:rPr>
                <w:rFonts w:ascii="仿宋_GB2312" w:hAnsi="宋体" w:eastAsia="仿宋_GB2312"/>
                <w:sz w:val="28"/>
              </w:rPr>
            </w:pPr>
            <w:r>
              <w:rPr>
                <w:rFonts w:ascii="仿宋_GB2312" w:hAnsi="宋体" w:eastAsia="仿宋_GB2312"/>
                <w:sz w:val="28"/>
              </w:rPr>
              <w:t>20</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具有一定的示范推广价值。</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7.</w:t>
      </w:r>
      <w:r>
        <w:rPr>
          <w:rFonts w:hint="eastAsia" w:ascii="仿宋_GB2312" w:hAnsi="Courier New" w:eastAsia="仿宋_GB2312" w:cs="Courier New"/>
          <w:sz w:val="28"/>
          <w:szCs w:val="28"/>
        </w:rPr>
        <w:t>信息化教学课程案例</w:t>
      </w:r>
    </w:p>
    <w:tbl>
      <w:tblPr>
        <w:tblStyle w:val="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课程建设</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15</w:t>
            </w:r>
          </w:p>
        </w:tc>
        <w:tc>
          <w:tcPr>
            <w:tcW w:w="5760" w:type="dxa"/>
            <w:vAlign w:val="top"/>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信息化软硬件符合教育教学需求，有特色；</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课程建设、教学理念、内容、方法体现现代信息技术的运用；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课程资源丰富，信息技术运用恰当。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35</w:t>
            </w:r>
          </w:p>
        </w:tc>
        <w:tc>
          <w:tcPr>
            <w:tcW w:w="5760" w:type="dxa"/>
            <w:vAlign w:val="top"/>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信息技术与课程教学深度融合，转变学生学习方式；</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30</w:t>
            </w:r>
          </w:p>
        </w:tc>
        <w:tc>
          <w:tcPr>
            <w:tcW w:w="5760" w:type="dxa"/>
            <w:vAlign w:val="top"/>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教学目标达成度高，学生深度参与，活跃度高；</w:t>
            </w:r>
          </w:p>
          <w:p>
            <w:pPr>
              <w:adjustRightInd w:val="0"/>
              <w:snapToGrid w:val="0"/>
              <w:spacing w:line="400" w:lineRule="exact"/>
              <w:rPr>
                <w:rFonts w:ascii="仿宋_GB2312" w:eastAsia="仿宋_GB2312"/>
                <w:sz w:val="28"/>
                <w:szCs w:val="28"/>
              </w:rPr>
            </w:pPr>
            <w:r>
              <w:rPr>
                <w:rFonts w:hint="eastAsia" w:ascii="仿宋_GB2312" w:hAnsi="Courier New" w:eastAsia="仿宋_GB2312" w:cs="Courier New"/>
                <w:sz w:val="28"/>
                <w:szCs w:val="28"/>
              </w:rPr>
              <w:t>学生自主学习、合作学习、研究性学习等学习能力提升明显；</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学生、教师、学校评价好。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特色创新</w:t>
            </w:r>
          </w:p>
        </w:tc>
        <w:tc>
          <w:tcPr>
            <w:tcW w:w="900" w:type="dxa"/>
            <w:vAlign w:val="center"/>
          </w:tcPr>
          <w:p>
            <w:pPr>
              <w:spacing w:line="440" w:lineRule="exact"/>
              <w:jc w:val="center"/>
              <w:rPr>
                <w:rFonts w:ascii="仿宋_GB2312" w:hAnsi="宋体" w:eastAsia="仿宋_GB2312"/>
                <w:sz w:val="28"/>
              </w:rPr>
            </w:pPr>
            <w:r>
              <w:rPr>
                <w:rFonts w:ascii="仿宋_GB2312" w:hAnsi="宋体" w:eastAsia="仿宋_GB2312"/>
                <w:sz w:val="28"/>
              </w:rPr>
              <w:t>20</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具有一定的示范推广价值。</w:t>
            </w:r>
          </w:p>
        </w:tc>
      </w:tr>
    </w:tbl>
    <w:p>
      <w:pPr>
        <w:spacing w:line="440" w:lineRule="exact"/>
        <w:ind w:firstLine="540"/>
        <w:rPr>
          <w:rFonts w:ascii="楷体_GB2312" w:eastAsia="楷体_GB2312"/>
          <w:b/>
          <w:bCs/>
          <w:sz w:val="28"/>
          <w:szCs w:val="28"/>
        </w:rPr>
      </w:pPr>
      <w:r>
        <w:rPr>
          <w:rFonts w:hint="eastAsia" w:ascii="楷体_GB2312" w:eastAsia="楷体_GB2312"/>
          <w:b/>
          <w:bCs/>
          <w:sz w:val="28"/>
          <w:szCs w:val="28"/>
        </w:rPr>
        <w:t>（四）作品资格审定</w:t>
      </w:r>
    </w:p>
    <w:p>
      <w:pPr>
        <w:spacing w:line="440" w:lineRule="exact"/>
        <w:ind w:firstLine="560" w:firstLineChars="200"/>
        <w:rPr>
          <w:rFonts w:ascii="仿宋_GB2312" w:hAnsi="宋体" w:eastAsia="仿宋_GB2312"/>
          <w:sz w:val="28"/>
        </w:rPr>
      </w:pPr>
      <w:r>
        <w:rPr>
          <w:rFonts w:ascii="仿宋_GB2312" w:hAnsi="宋体" w:eastAsia="仿宋_GB2312"/>
          <w:sz w:val="28"/>
          <w:szCs w:val="28"/>
        </w:rPr>
        <w:t>1.</w:t>
      </w:r>
      <w:r>
        <w:rPr>
          <w:rFonts w:hint="eastAsia" w:ascii="仿宋_GB2312" w:hAnsi="宋体" w:eastAsia="仿宋_GB2312"/>
          <w:sz w:val="28"/>
        </w:rPr>
        <w:t>有政治原则性错误和学科概念性错误的作品，取消参加资格。</w:t>
      </w:r>
    </w:p>
    <w:p>
      <w:pPr>
        <w:spacing w:line="440" w:lineRule="exact"/>
        <w:ind w:firstLine="555"/>
        <w:rPr>
          <w:rFonts w:ascii="仿宋_GB2312" w:eastAsia="仿宋_GB2312"/>
          <w:b/>
          <w:sz w:val="28"/>
          <w:szCs w:val="28"/>
        </w:rPr>
      </w:pPr>
      <w:r>
        <w:rPr>
          <w:rFonts w:ascii="仿宋_GB2312" w:hAnsi="宋体" w:eastAsia="仿宋_GB2312"/>
          <w:sz w:val="28"/>
        </w:rPr>
        <w:t>2.</w:t>
      </w:r>
      <w:r>
        <w:rPr>
          <w:rFonts w:hint="eastAsia" w:ascii="仿宋_GB2312" w:eastAsia="仿宋_GB2312"/>
          <w:sz w:val="28"/>
        </w:rPr>
        <w:t>杜绝弄虚作假行为。一经发现，取消参加资格。</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（五）作品制作</w:t>
      </w:r>
    </w:p>
    <w:p>
      <w:pPr>
        <w:spacing w:line="440" w:lineRule="exact"/>
        <w:rPr>
          <w:rFonts w:ascii="仿宋_GB2312" w:eastAsia="仿宋_GB2312"/>
          <w:sz w:val="28"/>
          <w:szCs w:val="28"/>
        </w:rPr>
      </w:pPr>
      <w:r>
        <w:rPr>
          <w:rFonts w:ascii="仿宋_GB2312" w:eastAsia="仿宋_GB2312"/>
          <w:b/>
          <w:sz w:val="28"/>
          <w:szCs w:val="28"/>
        </w:rPr>
        <w:t xml:space="preserve">    </w:t>
      </w:r>
      <w:r>
        <w:rPr>
          <w:rFonts w:ascii="仿宋_GB2312" w:eastAsia="仿宋_GB2312"/>
          <w:sz w:val="28"/>
          <w:szCs w:val="28"/>
        </w:rPr>
        <w:t>1.</w:t>
      </w:r>
      <w:r>
        <w:rPr>
          <w:rFonts w:hint="eastAsia" w:ascii="仿宋_GB2312" w:eastAsia="仿宋_GB2312"/>
          <w:sz w:val="28"/>
          <w:szCs w:val="28"/>
        </w:rPr>
        <w:t>资料的引用应注明出处。如引起知识产权异议和纠纷，其责任由作品作者承担。</w:t>
      </w:r>
    </w:p>
    <w:p>
      <w:pPr>
        <w:spacing w:line="440" w:lineRule="exact"/>
        <w:ind w:firstLine="560"/>
        <w:rPr>
          <w:rFonts w:ascii="仿宋_GB2312" w:eastAsia="仿宋_GB2312"/>
          <w:sz w:val="28"/>
          <w:szCs w:val="28"/>
        </w:rPr>
      </w:pPr>
      <w:r>
        <w:rPr>
          <w:rFonts w:ascii="仿宋_GB2312" w:eastAsia="仿宋_GB2312"/>
          <w:sz w:val="28"/>
          <w:szCs w:val="28"/>
        </w:rPr>
        <w:t>2.</w:t>
      </w:r>
      <w:r>
        <w:rPr>
          <w:rFonts w:hint="eastAsia" w:ascii="仿宋_GB2312" w:hAnsi="宋体" w:eastAsia="仿宋_GB2312"/>
          <w:sz w:val="28"/>
        </w:rPr>
        <w:t>每件作品作者最多不超过</w:t>
      </w:r>
      <w:r>
        <w:rPr>
          <w:rFonts w:ascii="仿宋_GB2312" w:hAnsi="宋体" w:eastAsia="仿宋_GB2312"/>
          <w:sz w:val="28"/>
        </w:rPr>
        <w:t>3</w:t>
      </w:r>
      <w:r>
        <w:rPr>
          <w:rFonts w:hint="eastAsia" w:ascii="仿宋_GB2312" w:hAnsi="宋体" w:eastAsia="仿宋_GB2312"/>
          <w:sz w:val="28"/>
        </w:rPr>
        <w:t>人。</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不接受以单位名义集体创作的作品。</w:t>
      </w:r>
    </w:p>
    <w:p>
      <w:pPr>
        <w:ind w:firstLine="627" w:firstLineChars="196"/>
        <w:rPr>
          <w:rFonts w:ascii="黑体" w:hAnsi="黑体" w:eastAsia="黑体"/>
          <w:sz w:val="32"/>
          <w:szCs w:val="32"/>
        </w:rPr>
      </w:pPr>
      <w:r>
        <w:rPr>
          <w:rFonts w:hint="eastAsia" w:ascii="黑体" w:hAnsi="黑体" w:eastAsia="黑体"/>
          <w:sz w:val="32"/>
          <w:szCs w:val="32"/>
        </w:rPr>
        <w:t>三、参加办法</w:t>
      </w:r>
    </w:p>
    <w:p>
      <w:pPr>
        <w:spacing w:line="440" w:lineRule="exact"/>
        <w:ind w:firstLine="540"/>
        <w:rPr>
          <w:rFonts w:ascii="楷体_GB2312" w:eastAsia="楷体_GB2312"/>
          <w:b/>
          <w:bCs/>
          <w:sz w:val="28"/>
          <w:szCs w:val="28"/>
        </w:rPr>
      </w:pPr>
      <w:bookmarkStart w:id="8" w:name="_Toc101167282"/>
      <w:r>
        <w:rPr>
          <w:rFonts w:hint="eastAsia" w:ascii="楷体_GB2312" w:eastAsia="楷体_GB2312"/>
          <w:b/>
          <w:bCs/>
          <w:sz w:val="28"/>
          <w:szCs w:val="28"/>
        </w:rPr>
        <w:t>（一）参加办法及报送作品数量</w:t>
      </w:r>
      <w:bookmarkEnd w:id="8"/>
    </w:p>
    <w:p>
      <w:pPr>
        <w:spacing w:line="440" w:lineRule="exact"/>
        <w:ind w:firstLine="560" w:firstLineChars="200"/>
        <w:rPr>
          <w:rFonts w:ascii="仿宋_GB2312" w:hAnsi="宋体" w:eastAsia="仿宋_GB2312"/>
          <w:sz w:val="28"/>
          <w:szCs w:val="28"/>
        </w:rPr>
      </w:pPr>
      <w:r>
        <w:rPr>
          <w:rFonts w:ascii="仿宋_GB2312" w:eastAsia="仿宋_GB2312"/>
          <w:sz w:val="28"/>
          <w:szCs w:val="28"/>
        </w:rPr>
        <w:t>1.</w:t>
      </w:r>
      <w:r>
        <w:rPr>
          <w:rFonts w:hint="eastAsia" w:ascii="仿宋_GB2312" w:hAnsi="宋体" w:eastAsia="仿宋_GB2312"/>
          <w:sz w:val="28"/>
          <w:szCs w:val="28"/>
        </w:rPr>
        <w:t>基础教育组</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根据个人自愿参加的原则，请各省（自治区、直辖市）、计划单列市组织部门统一网上报送。每个组织单位不超过</w:t>
      </w:r>
      <w:r>
        <w:rPr>
          <w:rFonts w:ascii="仿宋_GB2312" w:hAnsi="宋体" w:eastAsia="仿宋_GB2312"/>
          <w:sz w:val="28"/>
          <w:szCs w:val="28"/>
        </w:rPr>
        <w:t>300</w:t>
      </w:r>
      <w:r>
        <w:rPr>
          <w:rFonts w:hint="eastAsia" w:ascii="仿宋_GB2312" w:hAnsi="宋体" w:eastAsia="仿宋_GB2312"/>
          <w:sz w:val="28"/>
          <w:szCs w:val="28"/>
        </w:rPr>
        <w:t>件。</w:t>
      </w:r>
    </w:p>
    <w:p>
      <w:pPr>
        <w:spacing w:line="440" w:lineRule="exact"/>
        <w:ind w:firstLine="560" w:firstLineChars="200"/>
        <w:rPr>
          <w:rFonts w:ascii="仿宋_GB2312" w:hAnsi="宋体" w:eastAsia="仿宋_GB2312"/>
          <w:sz w:val="28"/>
          <w:szCs w:val="28"/>
        </w:rPr>
      </w:pPr>
      <w:r>
        <w:rPr>
          <w:rFonts w:ascii="仿宋_GB2312" w:eastAsia="仿宋_GB2312"/>
          <w:sz w:val="28"/>
          <w:szCs w:val="28"/>
        </w:rPr>
        <w:t>2.</w:t>
      </w:r>
      <w:r>
        <w:rPr>
          <w:rFonts w:hint="eastAsia" w:ascii="仿宋_GB2312" w:hAnsi="宋体" w:eastAsia="仿宋_GB2312"/>
          <w:sz w:val="28"/>
          <w:szCs w:val="28"/>
        </w:rPr>
        <w:t>中等职业教育组</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根据个人自愿参加的原则，中职学校教师作品可由单位统一组织或个人直接通过大赛网站报送。</w:t>
      </w:r>
    </w:p>
    <w:p>
      <w:pPr>
        <w:spacing w:line="44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高等教育组</w:t>
      </w:r>
    </w:p>
    <w:p>
      <w:pPr>
        <w:spacing w:line="440" w:lineRule="exact"/>
        <w:ind w:firstLine="560" w:firstLineChars="200"/>
        <w:rPr>
          <w:rFonts w:ascii="仿宋_GB2312" w:eastAsia="仿宋_GB2312"/>
          <w:sz w:val="28"/>
          <w:szCs w:val="28"/>
        </w:rPr>
      </w:pPr>
      <w:r>
        <w:rPr>
          <w:rFonts w:hint="eastAsia" w:ascii="仿宋_GB2312" w:hAnsi="宋体" w:eastAsia="仿宋_GB2312"/>
          <w:sz w:val="28"/>
          <w:szCs w:val="28"/>
        </w:rPr>
        <w:t>根据个人自愿参加的原则，</w:t>
      </w:r>
      <w:r>
        <w:rPr>
          <w:rFonts w:hint="eastAsia" w:ascii="仿宋_GB2312" w:eastAsia="仿宋_GB2312"/>
          <w:sz w:val="28"/>
          <w:szCs w:val="28"/>
        </w:rPr>
        <w:t>高等院校教师作品可</w:t>
      </w:r>
      <w:r>
        <w:rPr>
          <w:rFonts w:hint="eastAsia" w:ascii="仿宋_GB2312" w:hAnsi="宋体" w:eastAsia="仿宋_GB2312"/>
          <w:sz w:val="28"/>
          <w:szCs w:val="28"/>
        </w:rPr>
        <w:t>由单位统一组织或个人</w:t>
      </w:r>
      <w:r>
        <w:rPr>
          <w:rFonts w:hint="eastAsia" w:ascii="仿宋_GB2312" w:eastAsia="仿宋_GB2312"/>
          <w:sz w:val="28"/>
          <w:szCs w:val="28"/>
        </w:rPr>
        <w:t>直接通过大赛网站报送。</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解放军、武警部队院校作品须由解放军、武警部队活动组织部门统一报送。</w:t>
      </w:r>
    </w:p>
    <w:p>
      <w:pPr>
        <w:spacing w:line="440" w:lineRule="exact"/>
        <w:ind w:firstLine="540"/>
        <w:rPr>
          <w:rFonts w:ascii="楷体_GB2312" w:eastAsia="楷体_GB2312"/>
          <w:b/>
          <w:bCs/>
          <w:sz w:val="28"/>
          <w:szCs w:val="28"/>
        </w:rPr>
      </w:pPr>
      <w:bookmarkStart w:id="9" w:name="_Toc101167283"/>
      <w:r>
        <w:rPr>
          <w:rFonts w:hint="eastAsia" w:ascii="楷体_GB2312" w:eastAsia="楷体_GB2312"/>
          <w:b/>
          <w:bCs/>
          <w:sz w:val="28"/>
          <w:szCs w:val="28"/>
        </w:rPr>
        <w:t>（二）报送</w:t>
      </w:r>
      <w:bookmarkEnd w:id="9"/>
      <w:r>
        <w:rPr>
          <w:rFonts w:hint="eastAsia" w:ascii="楷体_GB2312" w:eastAsia="楷体_GB2312"/>
          <w:b/>
          <w:bCs/>
          <w:sz w:val="28"/>
          <w:szCs w:val="28"/>
        </w:rPr>
        <w:t>时间、方式及费用</w:t>
      </w:r>
    </w:p>
    <w:p>
      <w:pPr>
        <w:spacing w:line="44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报送时间、方式</w:t>
      </w:r>
    </w:p>
    <w:p>
      <w:pPr>
        <w:spacing w:line="440" w:lineRule="exact"/>
        <w:ind w:firstLine="560" w:firstLineChars="200"/>
        <w:rPr>
          <w:rFonts w:ascii="仿宋_GB2312" w:eastAsia="仿宋_GB2312"/>
          <w:sz w:val="28"/>
          <w:szCs w:val="28"/>
        </w:rPr>
      </w:pP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w:t>
      </w:r>
      <w:r>
        <w:rPr>
          <w:rFonts w:ascii="仿宋_GB2312" w:eastAsia="仿宋_GB2312"/>
          <w:sz w:val="28"/>
          <w:szCs w:val="28"/>
        </w:rPr>
        <w:t>—30</w:t>
      </w:r>
      <w:r>
        <w:rPr>
          <w:rFonts w:hint="eastAsia" w:ascii="仿宋_GB2312" w:eastAsia="仿宋_GB2312"/>
          <w:sz w:val="28"/>
          <w:szCs w:val="28"/>
        </w:rPr>
        <w:t>日期间，各省级组织单位及中职、高校组织部门、教师可登录“大奖赛”网站（</w:t>
      </w:r>
      <w:r>
        <w:rPr>
          <w:rFonts w:ascii="仿宋_GB2312" w:eastAsia="仿宋_GB2312"/>
          <w:sz w:val="28"/>
          <w:szCs w:val="28"/>
        </w:rPr>
        <w:t>http://www.mtsa1998.com.cn</w:t>
      </w:r>
      <w:r>
        <w:rPr>
          <w:rFonts w:hint="eastAsia" w:ascii="仿宋_GB2312" w:eastAsia="仿宋_GB2312"/>
          <w:sz w:val="28"/>
          <w:szCs w:val="28"/>
        </w:rPr>
        <w:t>）进行网上报名、上传作品。</w:t>
      </w:r>
    </w:p>
    <w:p>
      <w:pPr>
        <w:spacing w:line="44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费用</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每件参赛作品需缴纳技术服务费</w:t>
      </w:r>
      <w:r>
        <w:rPr>
          <w:rFonts w:ascii="仿宋_GB2312" w:eastAsia="仿宋_GB2312"/>
          <w:sz w:val="28"/>
          <w:szCs w:val="28"/>
        </w:rPr>
        <w:t>300</w:t>
      </w:r>
      <w:r>
        <w:rPr>
          <w:rFonts w:hint="eastAsia" w:ascii="仿宋_GB2312" w:eastAsia="仿宋_GB2312"/>
          <w:sz w:val="28"/>
          <w:szCs w:val="28"/>
        </w:rPr>
        <w:t>元。</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网上报名信息提交成功后进行网上缴费。请准确填写报名信息内的发票抬头、税号和收件人手机号码、电子邮箱，我馆财务部门开具电子发票，发送至手机短信或电子邮箱，按照国家税务总局有关规定，作者自行下载发票</w:t>
      </w:r>
      <w:r>
        <w:rPr>
          <w:rFonts w:ascii="仿宋_GB2312" w:eastAsia="仿宋_GB2312"/>
          <w:sz w:val="28"/>
          <w:szCs w:val="28"/>
        </w:rPr>
        <w:t>PDF</w:t>
      </w:r>
      <w:r>
        <w:rPr>
          <w:rFonts w:hint="eastAsia" w:ascii="仿宋_GB2312" w:eastAsia="仿宋_GB2312"/>
          <w:sz w:val="28"/>
          <w:szCs w:val="28"/>
        </w:rPr>
        <w:t>文件，打印报销。</w:t>
      </w:r>
    </w:p>
    <w:p>
      <w:pPr>
        <w:ind w:firstLine="627" w:firstLineChars="196"/>
        <w:rPr>
          <w:rFonts w:ascii="黑体" w:hAnsi="黑体" w:eastAsia="黑体"/>
          <w:sz w:val="32"/>
          <w:szCs w:val="32"/>
        </w:rPr>
      </w:pPr>
      <w:bookmarkStart w:id="10" w:name="_Toc94346063"/>
      <w:bookmarkStart w:id="11" w:name="_Toc101167289"/>
      <w:r>
        <w:rPr>
          <w:rFonts w:hint="eastAsia" w:ascii="黑体" w:hAnsi="黑体" w:eastAsia="黑体"/>
          <w:sz w:val="32"/>
          <w:szCs w:val="32"/>
        </w:rPr>
        <w:t>四、</w:t>
      </w:r>
      <w:bookmarkEnd w:id="10"/>
      <w:bookmarkEnd w:id="11"/>
      <w:r>
        <w:rPr>
          <w:rFonts w:hint="eastAsia" w:ascii="黑体" w:hAnsi="黑体" w:eastAsia="黑体"/>
          <w:sz w:val="32"/>
          <w:szCs w:val="32"/>
        </w:rPr>
        <w:t>评选及交流展示</w:t>
      </w:r>
    </w:p>
    <w:p>
      <w:pPr>
        <w:spacing w:line="42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技术测试：包括资格审查、作品安装、运行测试。</w:t>
      </w:r>
    </w:p>
    <w:p>
      <w:pPr>
        <w:spacing w:line="440" w:lineRule="exact"/>
        <w:ind w:firstLine="560" w:firstLineChars="200"/>
        <w:rPr>
          <w:rFonts w:ascii="仿宋_GB2312" w:eastAsia="仿宋_GB2312"/>
          <w:sz w:val="28"/>
          <w:szCs w:val="28"/>
        </w:rPr>
      </w:pPr>
      <w:r>
        <w:rPr>
          <w:rFonts w:ascii="仿宋_GB2312" w:hAnsi="宋体" w:eastAsia="仿宋_GB2312"/>
          <w:sz w:val="28"/>
        </w:rPr>
        <w:t>2.</w:t>
      </w:r>
      <w:r>
        <w:rPr>
          <w:rFonts w:hint="eastAsia" w:ascii="仿宋_GB2312" w:hAnsi="宋体" w:eastAsia="仿宋_GB2312"/>
          <w:sz w:val="28"/>
        </w:rPr>
        <w:t>专家评选：由大奖赛组委会聘请有关专家、教师组成专家评选组，</w:t>
      </w:r>
      <w:r>
        <w:rPr>
          <w:rFonts w:hint="eastAsia" w:ascii="仿宋_GB2312" w:eastAsia="仿宋_GB2312"/>
          <w:sz w:val="28"/>
          <w:szCs w:val="28"/>
        </w:rPr>
        <w:t>对通过技术测试的作品</w:t>
      </w:r>
      <w:r>
        <w:rPr>
          <w:rFonts w:hint="eastAsia" w:ascii="仿宋_GB2312" w:hAnsi="宋体" w:eastAsia="仿宋_GB2312"/>
          <w:sz w:val="28"/>
        </w:rPr>
        <w:t>进行评选。</w:t>
      </w:r>
      <w:r>
        <w:rPr>
          <w:rFonts w:hint="eastAsia" w:ascii="仿宋_GB2312" w:eastAsia="仿宋_GB2312"/>
          <w:sz w:val="28"/>
          <w:szCs w:val="28"/>
        </w:rPr>
        <w:t>在综合评定基础上，提出作品获奖等级建议和参加现场决赛及交流展示的作品名单。评选时，省级报送作品的排序不作为评选参考指标。</w:t>
      </w:r>
    </w:p>
    <w:p>
      <w:pPr>
        <w:spacing w:line="420" w:lineRule="exact"/>
        <w:ind w:firstLine="561"/>
        <w:rPr>
          <w:rFonts w:ascii="仿宋_GB2312" w:eastAsia="仿宋_GB2312"/>
          <w:sz w:val="28"/>
          <w:szCs w:val="28"/>
        </w:rPr>
      </w:pPr>
      <w:bookmarkStart w:id="12" w:name="_Toc101167293"/>
      <w:r>
        <w:rPr>
          <w:rFonts w:ascii="仿宋_GB2312" w:eastAsia="仿宋_GB2312"/>
          <w:sz w:val="28"/>
          <w:szCs w:val="28"/>
        </w:rPr>
        <w:t>3.</w:t>
      </w:r>
      <w:r>
        <w:rPr>
          <w:rFonts w:hint="eastAsia" w:ascii="仿宋_GB2312" w:eastAsia="仿宋_GB2312"/>
          <w:sz w:val="28"/>
          <w:szCs w:val="28"/>
        </w:rPr>
        <w:t>交流展示：现场决赛及交流展示名单于</w:t>
      </w: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10</w:t>
      </w:r>
      <w:r>
        <w:rPr>
          <w:rFonts w:hint="eastAsia" w:ascii="仿宋_GB2312" w:eastAsia="仿宋_GB2312"/>
          <w:sz w:val="28"/>
          <w:szCs w:val="28"/>
        </w:rPr>
        <w:t>月底在大奖赛网站公布，</w:t>
      </w:r>
      <w:r>
        <w:rPr>
          <w:rFonts w:ascii="仿宋_GB2312" w:eastAsia="仿宋_GB2312"/>
          <w:sz w:val="28"/>
          <w:szCs w:val="28"/>
        </w:rPr>
        <w:t>11</w:t>
      </w:r>
      <w:r>
        <w:rPr>
          <w:rFonts w:hint="eastAsia" w:ascii="仿宋_GB2312" w:eastAsia="仿宋_GB2312"/>
          <w:sz w:val="28"/>
          <w:szCs w:val="28"/>
        </w:rPr>
        <w:t>月举办现场决赛及交流展示。</w:t>
      </w:r>
      <w:bookmarkEnd w:id="12"/>
      <w:r>
        <w:rPr>
          <w:rFonts w:hint="eastAsia" w:ascii="仿宋_GB2312" w:eastAsia="仿宋_GB2312"/>
          <w:sz w:val="28"/>
          <w:szCs w:val="28"/>
        </w:rPr>
        <w:t>相关通知文件另发。</w:t>
      </w:r>
    </w:p>
    <w:p>
      <w:pPr>
        <w:spacing w:line="42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奖项设置</w:t>
      </w:r>
    </w:p>
    <w:p>
      <w:pPr>
        <w:spacing w:line="420" w:lineRule="exact"/>
        <w:ind w:firstLine="560" w:firstLineChars="200"/>
        <w:rPr>
          <w:rFonts w:ascii="仿宋_GB2312" w:eastAsia="仿宋_GB2312"/>
          <w:sz w:val="28"/>
          <w:szCs w:val="28"/>
        </w:rPr>
      </w:pPr>
      <w:r>
        <w:rPr>
          <w:rFonts w:hint="eastAsia" w:ascii="仿宋_GB2312" w:eastAsia="仿宋_GB2312"/>
          <w:sz w:val="28"/>
          <w:szCs w:val="28"/>
        </w:rPr>
        <w:t>各参赛项目分别设置一等奖、二等奖和三等奖。根据各单位组织情况确定“优秀组织奖”。</w:t>
      </w:r>
    </w:p>
    <w:p>
      <w:pPr>
        <w:ind w:firstLine="627" w:firstLineChars="196"/>
        <w:rPr>
          <w:rFonts w:ascii="黑体" w:hAnsi="黑体" w:eastAsia="黑体"/>
          <w:sz w:val="32"/>
          <w:szCs w:val="32"/>
        </w:rPr>
      </w:pPr>
      <w:bookmarkStart w:id="13" w:name="_Toc101167300"/>
      <w:r>
        <w:rPr>
          <w:rFonts w:hint="eastAsia" w:ascii="黑体" w:hAnsi="黑体" w:eastAsia="黑体"/>
          <w:sz w:val="32"/>
          <w:szCs w:val="32"/>
        </w:rPr>
        <w:t>五、组织</w:t>
      </w:r>
      <w:bookmarkEnd w:id="13"/>
      <w:r>
        <w:rPr>
          <w:rFonts w:hint="eastAsia" w:ascii="黑体" w:hAnsi="黑体" w:eastAsia="黑体"/>
          <w:sz w:val="32"/>
          <w:szCs w:val="32"/>
        </w:rPr>
        <w:t>工作</w:t>
      </w:r>
    </w:p>
    <w:p>
      <w:pPr>
        <w:spacing w:line="440" w:lineRule="exact"/>
        <w:ind w:firstLine="561"/>
        <w:rPr>
          <w:rFonts w:ascii="楷体_GB2312" w:eastAsia="楷体_GB2312"/>
          <w:b/>
          <w:bCs/>
          <w:sz w:val="28"/>
          <w:szCs w:val="28"/>
        </w:rPr>
      </w:pPr>
      <w:bookmarkStart w:id="14" w:name="_Toc101167301"/>
      <w:r>
        <w:rPr>
          <w:rFonts w:hint="eastAsia" w:ascii="楷体_GB2312" w:eastAsia="楷体_GB2312"/>
          <w:b/>
          <w:bCs/>
          <w:sz w:val="28"/>
          <w:szCs w:val="28"/>
        </w:rPr>
        <w:t>（一）组织领导</w:t>
      </w:r>
      <w:bookmarkEnd w:id="14"/>
    </w:p>
    <w:p>
      <w:pPr>
        <w:spacing w:line="440" w:lineRule="exact"/>
        <w:ind w:firstLine="560" w:firstLineChars="200"/>
        <w:rPr>
          <w:rFonts w:ascii="仿宋_GB2312" w:eastAsia="仿宋_GB2312"/>
          <w:sz w:val="28"/>
          <w:szCs w:val="28"/>
        </w:rPr>
      </w:pPr>
      <w:r>
        <w:rPr>
          <w:rFonts w:hint="eastAsia" w:ascii="仿宋_GB2312" w:hAnsi="宋体" w:eastAsia="仿宋_GB2312"/>
          <w:bCs/>
          <w:sz w:val="28"/>
          <w:szCs w:val="28"/>
        </w:rPr>
        <w:t>“</w:t>
      </w:r>
      <w:r>
        <w:rPr>
          <w:rFonts w:hint="eastAsia" w:ascii="仿宋_GB2312" w:eastAsia="仿宋_GB2312"/>
          <w:sz w:val="28"/>
          <w:szCs w:val="28"/>
        </w:rPr>
        <w:t>大奖赛”由中央电化教育馆主办。</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“大奖赛组委会”办公室设在中央电化教育馆项目部，主要承担具体组织工作。</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“大奖赛”重要信息和相关事宜将陆续在“大奖赛”网站上公布。</w:t>
      </w:r>
    </w:p>
    <w:p>
      <w:pPr>
        <w:spacing w:line="440" w:lineRule="exact"/>
        <w:ind w:firstLine="561"/>
        <w:rPr>
          <w:rFonts w:ascii="楷体_GB2312" w:eastAsia="楷体_GB2312"/>
          <w:b/>
          <w:bCs/>
          <w:sz w:val="28"/>
          <w:szCs w:val="28"/>
        </w:rPr>
      </w:pPr>
      <w:bookmarkStart w:id="15" w:name="_Toc101167302"/>
      <w:r>
        <w:rPr>
          <w:rFonts w:hint="eastAsia" w:ascii="楷体_GB2312" w:eastAsia="楷体_GB2312"/>
          <w:b/>
          <w:bCs/>
          <w:sz w:val="28"/>
          <w:szCs w:val="28"/>
        </w:rPr>
        <w:t>（二）联系方式</w:t>
      </w:r>
      <w:bookmarkEnd w:id="15"/>
    </w:p>
    <w:p>
      <w:pPr>
        <w:spacing w:line="440" w:lineRule="exact"/>
        <w:ind w:firstLine="560" w:firstLineChars="200"/>
        <w:rPr>
          <w:rFonts w:ascii="仿宋_GB2312" w:hAnsi="宋体" w:eastAsia="仿宋_GB2312"/>
          <w:sz w:val="28"/>
        </w:rPr>
      </w:pPr>
      <w:r>
        <w:rPr>
          <w:rFonts w:ascii="仿宋_GB2312" w:hAnsi="宋体" w:eastAsia="仿宋_GB2312"/>
          <w:sz w:val="28"/>
        </w:rPr>
        <w:t>1.</w:t>
      </w:r>
      <w:r>
        <w:rPr>
          <w:rFonts w:hint="eastAsia" w:ascii="仿宋_GB2312" w:hAnsi="宋体" w:eastAsia="仿宋_GB2312"/>
          <w:sz w:val="28"/>
        </w:rPr>
        <w:t>通信地址</w:t>
      </w:r>
      <w:r>
        <w:rPr>
          <w:rFonts w:ascii="仿宋_GB2312" w:hAnsi="宋体" w:eastAsia="仿宋_GB2312"/>
          <w:sz w:val="28"/>
        </w:rPr>
        <w:t>:</w:t>
      </w:r>
      <w:r>
        <w:rPr>
          <w:rFonts w:hint="eastAsia" w:ascii="仿宋_GB2312" w:hAnsi="宋体" w:eastAsia="仿宋_GB2312"/>
          <w:sz w:val="28"/>
        </w:rPr>
        <w:t>北京市西城区复兴门内大街</w:t>
      </w:r>
      <w:r>
        <w:rPr>
          <w:rFonts w:ascii="仿宋_GB2312" w:hAnsi="宋体" w:eastAsia="仿宋_GB2312"/>
          <w:sz w:val="28"/>
        </w:rPr>
        <w:t>160</w:t>
      </w:r>
      <w:r>
        <w:rPr>
          <w:rFonts w:hint="eastAsia" w:ascii="仿宋_GB2312" w:hAnsi="宋体" w:eastAsia="仿宋_GB2312"/>
          <w:sz w:val="28"/>
        </w:rPr>
        <w:t>号</w:t>
      </w:r>
      <w:r>
        <w:rPr>
          <w:rFonts w:ascii="仿宋_GB2312" w:hAnsi="宋体" w:eastAsia="仿宋_GB2312"/>
          <w:sz w:val="28"/>
        </w:rPr>
        <w:t>88</w:t>
      </w:r>
      <w:r>
        <w:rPr>
          <w:rFonts w:hint="eastAsia" w:ascii="仿宋_GB2312" w:hAnsi="宋体" w:eastAsia="仿宋_GB2312"/>
          <w:sz w:val="28"/>
        </w:rPr>
        <w:t>信箱</w:t>
      </w:r>
    </w:p>
    <w:p>
      <w:pPr>
        <w:spacing w:line="440" w:lineRule="exact"/>
        <w:ind w:firstLine="2100" w:firstLineChars="750"/>
        <w:rPr>
          <w:rFonts w:ascii="仿宋_GB2312" w:hAnsi="宋体" w:eastAsia="仿宋_GB2312"/>
          <w:sz w:val="28"/>
        </w:rPr>
      </w:pPr>
      <w:r>
        <w:rPr>
          <w:rFonts w:hint="eastAsia" w:ascii="仿宋_GB2312" w:hAnsi="宋体" w:eastAsia="仿宋_GB2312"/>
          <w:sz w:val="28"/>
        </w:rPr>
        <w:t>中央电化教育馆项目部</w:t>
      </w:r>
    </w:p>
    <w:p>
      <w:pPr>
        <w:spacing w:line="440" w:lineRule="exact"/>
        <w:ind w:firstLine="560" w:firstLineChars="200"/>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邮政编码：</w:t>
      </w:r>
      <w:r>
        <w:rPr>
          <w:rFonts w:ascii="仿宋_GB2312" w:hAnsi="宋体" w:eastAsia="仿宋_GB2312"/>
          <w:sz w:val="28"/>
        </w:rPr>
        <w:t>100031</w:t>
      </w:r>
    </w:p>
    <w:p>
      <w:pPr>
        <w:spacing w:line="440" w:lineRule="exact"/>
        <w:ind w:firstLine="560" w:firstLineChars="200"/>
        <w:rPr>
          <w:rFonts w:ascii="仿宋_GB2312" w:eastAsia="仿宋_GB2312"/>
          <w:sz w:val="28"/>
          <w:szCs w:val="28"/>
        </w:rPr>
      </w:pPr>
      <w:r>
        <w:rPr>
          <w:rFonts w:ascii="仿宋_GB2312" w:eastAsia="仿宋_GB2312"/>
          <w:sz w:val="28"/>
        </w:rPr>
        <w:t>2.</w:t>
      </w:r>
      <w:r>
        <w:rPr>
          <w:rFonts w:hint="eastAsia" w:ascii="仿宋_GB2312" w:eastAsia="仿宋_GB2312"/>
          <w:sz w:val="28"/>
        </w:rPr>
        <w:t>联系人：</w:t>
      </w:r>
      <w:r>
        <w:rPr>
          <w:rFonts w:hint="eastAsia" w:ascii="仿宋_GB2312" w:eastAsia="仿宋_GB2312"/>
          <w:sz w:val="28"/>
          <w:szCs w:val="28"/>
        </w:rPr>
        <w:t>张东伟、廖斯昂</w:t>
      </w:r>
    </w:p>
    <w:p>
      <w:pPr>
        <w:spacing w:line="440" w:lineRule="exact"/>
        <w:ind w:firstLine="560" w:firstLineChars="200"/>
        <w:rPr>
          <w:rFonts w:ascii="仿宋_GB2312" w:eastAsia="仿宋_GB2312"/>
          <w:sz w:val="28"/>
        </w:rPr>
      </w:pPr>
      <w:r>
        <w:rPr>
          <w:rFonts w:ascii="仿宋_GB2312" w:eastAsia="仿宋_GB2312"/>
          <w:sz w:val="28"/>
          <w:szCs w:val="28"/>
        </w:rPr>
        <w:t>3.</w:t>
      </w:r>
      <w:r>
        <w:rPr>
          <w:rFonts w:hint="eastAsia" w:ascii="仿宋_GB2312" w:eastAsia="仿宋_GB2312"/>
          <w:sz w:val="28"/>
          <w:szCs w:val="28"/>
        </w:rPr>
        <w:t>联系电话：</w:t>
      </w:r>
      <w:r>
        <w:rPr>
          <w:rFonts w:ascii="仿宋_GB2312" w:eastAsia="仿宋_GB2312"/>
          <w:sz w:val="28"/>
          <w:szCs w:val="28"/>
        </w:rPr>
        <w:t>010-66490951</w:t>
      </w:r>
      <w:r>
        <w:rPr>
          <w:rFonts w:hint="eastAsia" w:ascii="仿宋_GB2312" w:eastAsia="仿宋_GB2312"/>
          <w:sz w:val="28"/>
          <w:szCs w:val="28"/>
        </w:rPr>
        <w:t>、</w:t>
      </w:r>
      <w:r>
        <w:rPr>
          <w:rFonts w:ascii="仿宋_GB2312" w:eastAsia="仿宋_GB2312"/>
          <w:sz w:val="28"/>
          <w:szCs w:val="28"/>
        </w:rPr>
        <w:t>66490950</w:t>
      </w:r>
    </w:p>
    <w:p>
      <w:pPr>
        <w:spacing w:line="440" w:lineRule="exact"/>
        <w:ind w:firstLine="560" w:firstLineChars="200"/>
        <w:rPr>
          <w:rFonts w:ascii="仿宋_GB2312" w:hAnsi="宋体" w:eastAsia="仿宋_GB2312"/>
          <w:sz w:val="28"/>
        </w:rPr>
      </w:pPr>
      <w:r>
        <w:rPr>
          <w:rFonts w:ascii="仿宋_GB2312" w:eastAsia="仿宋_GB2312"/>
          <w:sz w:val="28"/>
        </w:rPr>
        <w:t>4</w:t>
      </w:r>
      <w:r>
        <w:rPr>
          <w:rFonts w:ascii="仿宋_GB2312" w:eastAsia="仿宋_GB2312"/>
          <w:sz w:val="28"/>
          <w:szCs w:val="28"/>
        </w:rPr>
        <w:t>.</w:t>
      </w:r>
      <w:r>
        <w:rPr>
          <w:rFonts w:hint="eastAsia" w:ascii="仿宋_GB2312" w:hAnsi="宋体" w:eastAsia="仿宋_GB2312"/>
          <w:sz w:val="28"/>
        </w:rPr>
        <w:t>电子邮箱：</w:t>
      </w:r>
      <w:r>
        <w:rPr>
          <w:rFonts w:ascii="仿宋_GB2312" w:hAnsi="宋体" w:eastAsia="仿宋_GB2312"/>
          <w:sz w:val="28"/>
        </w:rPr>
        <w:t>xmb@moe.edu.cn</w:t>
      </w:r>
      <w:r>
        <w:rPr>
          <w:rFonts w:hint="eastAsia" w:ascii="仿宋_GB2312" w:hAnsi="宋体" w:eastAsia="仿宋_GB2312"/>
          <w:sz w:val="28"/>
        </w:rPr>
        <w:t>（邮件主题注明“</w:t>
      </w:r>
      <w:r>
        <w:rPr>
          <w:rFonts w:ascii="仿宋_GB2312" w:hAnsi="宋体" w:eastAsia="仿宋_GB2312"/>
          <w:sz w:val="28"/>
        </w:rPr>
        <w:t>2018</w:t>
      </w:r>
      <w:r>
        <w:rPr>
          <w:rFonts w:hint="eastAsia" w:ascii="仿宋_GB2312" w:hAnsi="宋体" w:eastAsia="仿宋_GB2312"/>
          <w:sz w:val="28"/>
        </w:rPr>
        <w:t>大奖赛”）</w:t>
      </w:r>
    </w:p>
    <w:p>
      <w:pPr>
        <w:spacing w:line="440" w:lineRule="exact"/>
        <w:ind w:firstLine="560" w:firstLineChars="200"/>
        <w:rPr>
          <w:rFonts w:ascii="仿宋_GB2312" w:eastAsia="仿宋_GB2312"/>
          <w:sz w:val="28"/>
        </w:rPr>
      </w:pPr>
      <w:r>
        <w:rPr>
          <w:rFonts w:ascii="仿宋_GB2312" w:hAnsi="宋体" w:eastAsia="仿宋_GB2312"/>
          <w:sz w:val="28"/>
        </w:rPr>
        <w:t>5.</w:t>
      </w:r>
      <w:r>
        <w:rPr>
          <w:rFonts w:hint="eastAsia" w:ascii="仿宋_GB2312" w:hAnsi="宋体" w:eastAsia="仿宋_GB2312"/>
          <w:sz w:val="28"/>
        </w:rPr>
        <w:t>网站</w:t>
      </w:r>
      <w:r>
        <w:rPr>
          <w:rFonts w:ascii="仿宋_GB2312" w:hAnsi="宋体" w:eastAsia="仿宋_GB2312"/>
          <w:sz w:val="28"/>
        </w:rPr>
        <w:t>:</w:t>
      </w:r>
      <w:r>
        <w:rPr>
          <w:rFonts w:ascii="仿宋_GB2312" w:eastAsia="仿宋_GB2312"/>
        </w:rPr>
        <w:t xml:space="preserve"> </w:t>
      </w:r>
      <w:r>
        <w:rPr>
          <w:rFonts w:ascii="仿宋_GB2312" w:hAnsi="宋体" w:eastAsia="仿宋_GB2312"/>
          <w:sz w:val="28"/>
        </w:rPr>
        <w:t>http://www.mtsa1998.com.cn</w:t>
      </w:r>
    </w:p>
    <w:p>
      <w:pPr>
        <w:spacing w:line="440" w:lineRule="exact"/>
        <w:ind w:firstLine="472" w:firstLineChars="196"/>
        <w:rPr>
          <w:rFonts w:ascii="仿宋_GB2312" w:eastAsia="仿宋_GB2312"/>
          <w:b/>
          <w:sz w:val="24"/>
        </w:rPr>
      </w:pPr>
      <w:r>
        <w:rPr>
          <w:rFonts w:ascii="仿宋_GB2312" w:eastAsia="仿宋_GB2312"/>
          <w:b/>
          <w:sz w:val="24"/>
        </w:rPr>
        <w:t xml:space="preserve"> </w:t>
      </w:r>
    </w:p>
    <w:p>
      <w:pPr>
        <w:spacing w:line="440" w:lineRule="exact"/>
        <w:ind w:firstLine="470" w:firstLineChars="196"/>
        <w:rPr>
          <w:rFonts w:ascii="仿宋_GB2312" w:eastAsia="仿宋_GB2312"/>
          <w:sz w:val="24"/>
        </w:rPr>
      </w:pPr>
      <w:bookmarkStart w:id="16" w:name="_Toc101167305"/>
      <w:bookmarkEnd w:id="16"/>
    </w:p>
    <w:p>
      <w:pPr>
        <w:widowControl/>
        <w:snapToGrid w:val="0"/>
        <w:ind w:firstLine="420" w:firstLineChars="200"/>
        <w:textAlignment w:val="center"/>
        <w:rPr>
          <w:rFonts w:hint="eastAsia" w:ascii="Times New Roman" w:hAnsi="Times New Roman" w:eastAsia="仿宋_GB2312"/>
          <w:kern w:val="0"/>
        </w:rPr>
      </w:pPr>
    </w:p>
    <w:p/>
    <w:sectPr>
      <w:footerReference r:id="rId3" w:type="default"/>
      <w:pgSz w:w="11906" w:h="16838"/>
      <w:pgMar w:top="1701" w:right="1531" w:bottom="1701"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p>
  <w:p>
    <w:pPr>
      <w:pStyle w:val="2"/>
      <w:jc w:val="center"/>
    </w:pPr>
    <w:r>
      <w:rPr>
        <w:rFonts w:hint="eastAsia"/>
      </w:rPr>
      <w:t>－</w:t>
    </w:r>
    <w:r>
      <w:fldChar w:fldCharType="begin"/>
    </w:r>
    <w:r>
      <w:rPr>
        <w:rStyle w:val="4"/>
      </w:rPr>
      <w:instrText xml:space="preserve">PAGE  </w:instrText>
    </w:r>
    <w:r>
      <w:fldChar w:fldCharType="separate"/>
    </w:r>
    <w:r>
      <w:rPr>
        <w:rStyle w:val="4"/>
      </w:rPr>
      <w:t>1</w:t>
    </w:r>
    <w:r>
      <w:fldChar w:fldCharType="end"/>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760A8"/>
    <w:rsid w:val="798760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sz w:val="18"/>
      <w:szCs w:val="20"/>
    </w:rPr>
  </w:style>
  <w:style w:type="character" w:styleId="4">
    <w:name w:val="page number"/>
    <w:uiPriority w:val="0"/>
    <w:rPr>
      <w:rFonts w:cs="Times New Roman"/>
    </w:rPr>
  </w:style>
  <w:style w:type="character" w:customStyle="1" w:styleId="6">
    <w:name w:val="Char Char Char Char"/>
    <w:uiPriority w:val="0"/>
    <w:rPr>
      <w:rFonts w:eastAsia="宋体"/>
      <w:b/>
      <w:kern w:val="2"/>
      <w:sz w:val="3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2018-05-16T07:24:00Z</dcterms:created>
  <dc:creator>瓶瓶1380265476</dc:creator>
  <cp:lastModifiedBy>瓶瓶1380265476</cp:lastModifiedBy>
  <dcterms:modified xsi:type="dcterms:W3CDTF">2018-05-16T07:25:12Z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